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E5C6" w14:textId="49CB1A20" w:rsidR="0083496D" w:rsidRDefault="0083496D" w:rsidP="0083496D">
      <w:pPr>
        <w:spacing w:line="360" w:lineRule="auto"/>
        <w:ind w:left="720" w:hanging="360"/>
        <w:jc w:val="center"/>
        <w:rPr>
          <w:rFonts w:ascii="Times New Roman" w:hAnsi="Times New Roman" w:cs="Times New Roman"/>
          <w:b/>
          <w:bCs/>
        </w:rPr>
      </w:pPr>
    </w:p>
    <w:p w14:paraId="282F8987" w14:textId="77777777" w:rsidR="00B77CD0" w:rsidRPr="0083496D" w:rsidRDefault="00B77CD0" w:rsidP="0083496D">
      <w:pPr>
        <w:spacing w:line="360" w:lineRule="auto"/>
        <w:ind w:left="720" w:hanging="360"/>
        <w:jc w:val="center"/>
        <w:rPr>
          <w:rFonts w:ascii="Times New Roman" w:hAnsi="Times New Roman" w:cs="Times New Roman"/>
          <w:b/>
          <w:bCs/>
        </w:rPr>
      </w:pPr>
    </w:p>
    <w:p w14:paraId="03B83F50" w14:textId="777F7F47" w:rsidR="00371C1B" w:rsidRDefault="00B77CD0" w:rsidP="007E29DA">
      <w:pPr>
        <w:spacing w:line="276" w:lineRule="auto"/>
        <w:jc w:val="both"/>
        <w:rPr>
          <w:rFonts w:ascii="Times New Roman" w:hAnsi="Times New Roman" w:cs="Times New Roman"/>
          <w:b/>
          <w:bCs/>
        </w:rPr>
      </w:pPr>
      <w:r>
        <w:rPr>
          <w:rFonts w:ascii="Times New Roman" w:hAnsi="Times New Roman" w:cs="Times New Roman"/>
          <w:b/>
          <w:bCs/>
        </w:rPr>
        <w:t>Auteur :</w:t>
      </w:r>
    </w:p>
    <w:p w14:paraId="625DB2D4" w14:textId="3F1CF591" w:rsidR="00371C1B" w:rsidRPr="00B743B1" w:rsidRDefault="00371C1B" w:rsidP="007E29DA">
      <w:pPr>
        <w:spacing w:line="276" w:lineRule="auto"/>
        <w:jc w:val="both"/>
        <w:rPr>
          <w:rFonts w:ascii="Times New Roman" w:hAnsi="Times New Roman" w:cs="Times New Roman"/>
          <w:b/>
          <w:bCs/>
        </w:rPr>
      </w:pPr>
      <w:r>
        <w:rPr>
          <w:rFonts w:ascii="Times New Roman" w:hAnsi="Times New Roman" w:cs="Times New Roman"/>
          <w:b/>
          <w:bCs/>
        </w:rPr>
        <w:t>AMU KABALE JOHN</w:t>
      </w:r>
    </w:p>
    <w:p w14:paraId="4FE30A74" w14:textId="7A7394B6" w:rsidR="00371C1B" w:rsidRPr="00B743B1" w:rsidRDefault="00371C1B" w:rsidP="007E29DA">
      <w:pPr>
        <w:pStyle w:val="Paragraphedeliste"/>
        <w:numPr>
          <w:ilvl w:val="0"/>
          <w:numId w:val="9"/>
        </w:numPr>
        <w:spacing w:line="276" w:lineRule="auto"/>
        <w:jc w:val="both"/>
        <w:rPr>
          <w:rFonts w:ascii="Times New Roman" w:hAnsi="Times New Roman" w:cs="Times New Roman"/>
        </w:rPr>
      </w:pPr>
      <w:r w:rsidRPr="00B743B1">
        <w:rPr>
          <w:rFonts w:ascii="Times New Roman" w:hAnsi="Times New Roman" w:cs="Times New Roman"/>
        </w:rPr>
        <w:t xml:space="preserve">ORCID : </w:t>
      </w:r>
      <w:hyperlink r:id="rId7" w:history="1">
        <w:r w:rsidRPr="00B743B1">
          <w:rPr>
            <w:rStyle w:val="Lienhypertexte"/>
            <w:rFonts w:ascii="Times New Roman" w:hAnsi="Times New Roman" w:cs="Times New Roman"/>
          </w:rPr>
          <w:t>https://orcid.org/0009-0009-9132-5153</w:t>
        </w:r>
      </w:hyperlink>
    </w:p>
    <w:p w14:paraId="418EA118" w14:textId="565E5A85" w:rsidR="00371C1B" w:rsidRPr="00B743B1" w:rsidRDefault="00371C1B" w:rsidP="007E29DA">
      <w:pPr>
        <w:pStyle w:val="Paragraphedeliste"/>
        <w:numPr>
          <w:ilvl w:val="0"/>
          <w:numId w:val="9"/>
        </w:numPr>
        <w:spacing w:line="276" w:lineRule="auto"/>
        <w:jc w:val="both"/>
        <w:rPr>
          <w:rFonts w:ascii="Times New Roman" w:hAnsi="Times New Roman" w:cs="Times New Roman"/>
        </w:rPr>
      </w:pPr>
      <w:r w:rsidRPr="00B743B1">
        <w:rPr>
          <w:rFonts w:ascii="Times New Roman" w:hAnsi="Times New Roman" w:cs="Times New Roman"/>
        </w:rPr>
        <w:t xml:space="preserve">E-mail : </w:t>
      </w:r>
      <w:hyperlink r:id="rId8" w:history="1">
        <w:r w:rsidRPr="00B743B1">
          <w:rPr>
            <w:rStyle w:val="Lienhypertexte"/>
            <w:rFonts w:ascii="Times New Roman" w:hAnsi="Times New Roman" w:cs="Times New Roman"/>
          </w:rPr>
          <w:t>amukabale@gmail.com</w:t>
        </w:r>
      </w:hyperlink>
      <w:r w:rsidRPr="00B743B1">
        <w:rPr>
          <w:rFonts w:ascii="Times New Roman" w:hAnsi="Times New Roman" w:cs="Times New Roman"/>
        </w:rPr>
        <w:t xml:space="preserve"> </w:t>
      </w:r>
    </w:p>
    <w:p w14:paraId="547B403F" w14:textId="77777777" w:rsidR="00116067" w:rsidRDefault="00371C1B" w:rsidP="007E29DA">
      <w:pPr>
        <w:spacing w:line="276" w:lineRule="auto"/>
        <w:jc w:val="both"/>
        <w:rPr>
          <w:rFonts w:ascii="Times New Roman" w:hAnsi="Times New Roman" w:cs="Times New Roman"/>
          <w:b/>
          <w:bCs/>
        </w:rPr>
      </w:pPr>
      <w:r>
        <w:rPr>
          <w:rFonts w:ascii="Times New Roman" w:hAnsi="Times New Roman" w:cs="Times New Roman"/>
          <w:b/>
          <w:bCs/>
        </w:rPr>
        <w:t>Co-auteurs :</w:t>
      </w:r>
    </w:p>
    <w:p w14:paraId="4659CD30" w14:textId="0AD97C1E" w:rsidR="00371C1B" w:rsidRDefault="005C5AAA" w:rsidP="007E29DA">
      <w:pPr>
        <w:spacing w:line="276" w:lineRule="auto"/>
        <w:jc w:val="both"/>
        <w:rPr>
          <w:rFonts w:ascii="Times New Roman" w:hAnsi="Times New Roman" w:cs="Times New Roman"/>
          <w:b/>
          <w:bCs/>
        </w:rPr>
      </w:pPr>
      <w:r>
        <w:rPr>
          <w:rFonts w:ascii="Times New Roman" w:hAnsi="Times New Roman" w:cs="Times New Roman"/>
          <w:b/>
          <w:bCs/>
        </w:rPr>
        <w:t>MUTALA KASHALA</w:t>
      </w:r>
      <w:r w:rsidR="00922223">
        <w:rPr>
          <w:rFonts w:ascii="Times New Roman" w:hAnsi="Times New Roman" w:cs="Times New Roman"/>
          <w:b/>
          <w:bCs/>
        </w:rPr>
        <w:t xml:space="preserve"> MAO</w:t>
      </w:r>
    </w:p>
    <w:p w14:paraId="0EB634B6" w14:textId="674754D9" w:rsidR="00922223" w:rsidRPr="00816CDC" w:rsidRDefault="00922223" w:rsidP="00922223">
      <w:pPr>
        <w:pStyle w:val="Paragraphedeliste"/>
        <w:numPr>
          <w:ilvl w:val="0"/>
          <w:numId w:val="9"/>
        </w:numPr>
        <w:spacing w:line="276" w:lineRule="auto"/>
        <w:jc w:val="both"/>
        <w:rPr>
          <w:rFonts w:ascii="Times New Roman" w:hAnsi="Times New Roman" w:cs="Times New Roman"/>
        </w:rPr>
      </w:pPr>
      <w:r w:rsidRPr="00816CDC">
        <w:rPr>
          <w:rFonts w:ascii="Times New Roman" w:hAnsi="Times New Roman" w:cs="Times New Roman"/>
        </w:rPr>
        <w:t xml:space="preserve">ORCID : </w:t>
      </w:r>
      <w:r w:rsidR="00816CDC" w:rsidRPr="00816CDC">
        <w:rPr>
          <w:rFonts w:ascii="Times New Roman" w:hAnsi="Times New Roman" w:cs="Times New Roman"/>
        </w:rPr>
        <w:t>0009-0001-7614-3089</w:t>
      </w:r>
      <w:r w:rsidR="00816CDC">
        <w:rPr>
          <w:rFonts w:ascii="Times New Roman" w:hAnsi="Times New Roman" w:cs="Times New Roman"/>
        </w:rPr>
        <w:t xml:space="preserve"> </w:t>
      </w:r>
    </w:p>
    <w:p w14:paraId="0B2078EC" w14:textId="3E7185B7" w:rsidR="00922223" w:rsidRPr="008014F4" w:rsidRDefault="00922223" w:rsidP="008014F4">
      <w:pPr>
        <w:pStyle w:val="Paragraphedeliste"/>
        <w:numPr>
          <w:ilvl w:val="0"/>
          <w:numId w:val="9"/>
        </w:numPr>
        <w:spacing w:line="276" w:lineRule="auto"/>
        <w:jc w:val="both"/>
        <w:rPr>
          <w:rFonts w:ascii="Times New Roman" w:hAnsi="Times New Roman" w:cs="Times New Roman"/>
        </w:rPr>
      </w:pPr>
      <w:r w:rsidRPr="00922223">
        <w:rPr>
          <w:rFonts w:ascii="Times New Roman" w:hAnsi="Times New Roman" w:cs="Times New Roman"/>
        </w:rPr>
        <w:t xml:space="preserve">E-mail : </w:t>
      </w:r>
      <w:hyperlink r:id="rId9" w:history="1">
        <w:r w:rsidR="008014F4" w:rsidRPr="00902DD7">
          <w:rPr>
            <w:rStyle w:val="Lienhypertexte"/>
            <w:rFonts w:ascii="Times New Roman" w:hAnsi="Times New Roman" w:cs="Times New Roman"/>
          </w:rPr>
          <w:t>maomutala@gmail.com</w:t>
        </w:r>
      </w:hyperlink>
      <w:r w:rsidR="008014F4">
        <w:rPr>
          <w:rFonts w:ascii="Times New Roman" w:hAnsi="Times New Roman" w:cs="Times New Roman"/>
        </w:rPr>
        <w:t xml:space="preserve"> </w:t>
      </w:r>
    </w:p>
    <w:p w14:paraId="6999C9E8" w14:textId="71673662" w:rsidR="00371C1B" w:rsidRPr="00B743B1" w:rsidRDefault="00371C1B" w:rsidP="007E29DA">
      <w:pPr>
        <w:spacing w:line="276" w:lineRule="auto"/>
        <w:jc w:val="both"/>
        <w:rPr>
          <w:rFonts w:ascii="Times New Roman" w:hAnsi="Times New Roman" w:cs="Times New Roman"/>
        </w:rPr>
      </w:pPr>
      <w:r w:rsidRPr="00B743B1">
        <w:rPr>
          <w:rFonts w:ascii="Times New Roman" w:hAnsi="Times New Roman" w:cs="Times New Roman"/>
        </w:rPr>
        <w:t>Tous chercheurs au Centre de Recherche en Sciences Humaines (C</w:t>
      </w:r>
      <w:r w:rsidR="00FD41ED">
        <w:rPr>
          <w:rFonts w:ascii="Times New Roman" w:hAnsi="Times New Roman" w:cs="Times New Roman"/>
        </w:rPr>
        <w:t>.</w:t>
      </w:r>
      <w:r w:rsidRPr="00B743B1">
        <w:rPr>
          <w:rFonts w:ascii="Times New Roman" w:hAnsi="Times New Roman" w:cs="Times New Roman"/>
        </w:rPr>
        <w:t>RE</w:t>
      </w:r>
      <w:r w:rsidR="00FD41ED">
        <w:rPr>
          <w:rFonts w:ascii="Times New Roman" w:hAnsi="Times New Roman" w:cs="Times New Roman"/>
        </w:rPr>
        <w:t>.</w:t>
      </w:r>
      <w:r w:rsidRPr="00B743B1">
        <w:rPr>
          <w:rFonts w:ascii="Times New Roman" w:hAnsi="Times New Roman" w:cs="Times New Roman"/>
        </w:rPr>
        <w:t>S</w:t>
      </w:r>
      <w:r w:rsidR="00FD41ED">
        <w:rPr>
          <w:rFonts w:ascii="Times New Roman" w:hAnsi="Times New Roman" w:cs="Times New Roman"/>
        </w:rPr>
        <w:t>.</w:t>
      </w:r>
      <w:r w:rsidRPr="00B743B1">
        <w:rPr>
          <w:rFonts w:ascii="Times New Roman" w:hAnsi="Times New Roman" w:cs="Times New Roman"/>
        </w:rPr>
        <w:t>H</w:t>
      </w:r>
      <w:r w:rsidR="00FD41ED">
        <w:rPr>
          <w:rFonts w:ascii="Times New Roman" w:hAnsi="Times New Roman" w:cs="Times New Roman"/>
        </w:rPr>
        <w:t>.</w:t>
      </w:r>
      <w:r w:rsidRPr="00B743B1">
        <w:rPr>
          <w:rFonts w:ascii="Times New Roman" w:hAnsi="Times New Roman" w:cs="Times New Roman"/>
        </w:rPr>
        <w:t>)</w:t>
      </w:r>
      <w:r w:rsidR="00FD41ED">
        <w:rPr>
          <w:rFonts w:ascii="Times New Roman" w:hAnsi="Times New Roman" w:cs="Times New Roman"/>
        </w:rPr>
        <w:t xml:space="preserve">, Département des Sciences </w:t>
      </w:r>
      <w:r w:rsidR="001E73DF">
        <w:rPr>
          <w:rFonts w:ascii="Times New Roman" w:hAnsi="Times New Roman" w:cs="Times New Roman"/>
        </w:rPr>
        <w:t>Politiques et Administratives, Relations Internationales et Bonne Gouvernance.</w:t>
      </w:r>
    </w:p>
    <w:p w14:paraId="7B6DBA75" w14:textId="09D1B70A" w:rsidR="00371C1B" w:rsidRPr="00B743B1" w:rsidRDefault="00371C1B" w:rsidP="007E29DA">
      <w:pPr>
        <w:spacing w:line="276" w:lineRule="auto"/>
        <w:jc w:val="both"/>
        <w:rPr>
          <w:rFonts w:ascii="Times New Roman" w:hAnsi="Times New Roman" w:cs="Times New Roman"/>
        </w:rPr>
      </w:pPr>
      <w:r w:rsidRPr="00B743B1">
        <w:rPr>
          <w:rFonts w:ascii="Times New Roman" w:hAnsi="Times New Roman" w:cs="Times New Roman"/>
        </w:rPr>
        <w:t>Kinshasa, République Démocratique du Congo</w:t>
      </w:r>
    </w:p>
    <w:p w14:paraId="304153FC" w14:textId="7CC38F22" w:rsidR="00371C1B" w:rsidRDefault="00371C1B" w:rsidP="007E29DA">
      <w:pPr>
        <w:spacing w:line="276" w:lineRule="auto"/>
        <w:jc w:val="both"/>
        <w:rPr>
          <w:rFonts w:ascii="Times New Roman" w:hAnsi="Times New Roman" w:cs="Times New Roman"/>
          <w:b/>
          <w:bCs/>
        </w:rPr>
      </w:pPr>
      <w:r>
        <w:rPr>
          <w:rFonts w:ascii="Times New Roman" w:hAnsi="Times New Roman" w:cs="Times New Roman"/>
          <w:b/>
          <w:bCs/>
        </w:rPr>
        <w:t>Financement :</w:t>
      </w:r>
    </w:p>
    <w:p w14:paraId="06392B5D" w14:textId="7556FDFD" w:rsidR="00371C1B" w:rsidRPr="00B743B1" w:rsidRDefault="00371C1B" w:rsidP="007E29DA">
      <w:pPr>
        <w:spacing w:line="276" w:lineRule="auto"/>
        <w:jc w:val="both"/>
        <w:rPr>
          <w:rFonts w:ascii="Times New Roman" w:hAnsi="Times New Roman" w:cs="Times New Roman"/>
        </w:rPr>
      </w:pPr>
      <w:r w:rsidRPr="00B743B1">
        <w:rPr>
          <w:rFonts w:ascii="Times New Roman" w:hAnsi="Times New Roman" w:cs="Times New Roman"/>
        </w:rPr>
        <w:t>Cette recherche n’a reçu aucune subvention spécifique de la part d’un organisme de financement public, commercial ou à but non lucratif.</w:t>
      </w:r>
    </w:p>
    <w:p w14:paraId="1272CEB7" w14:textId="255ACFAB" w:rsidR="00371C1B" w:rsidRDefault="00371C1B" w:rsidP="007E29DA">
      <w:pPr>
        <w:spacing w:line="276" w:lineRule="auto"/>
        <w:jc w:val="both"/>
        <w:rPr>
          <w:rFonts w:ascii="Times New Roman" w:hAnsi="Times New Roman" w:cs="Times New Roman"/>
          <w:b/>
          <w:bCs/>
        </w:rPr>
      </w:pPr>
      <w:r>
        <w:rPr>
          <w:rFonts w:ascii="Times New Roman" w:hAnsi="Times New Roman" w:cs="Times New Roman"/>
          <w:b/>
          <w:bCs/>
        </w:rPr>
        <w:t>Déclaration de divulgation :</w:t>
      </w:r>
    </w:p>
    <w:p w14:paraId="5971095D" w14:textId="77777777" w:rsidR="00371C1B" w:rsidRPr="00B743B1" w:rsidRDefault="00371C1B" w:rsidP="007E29DA">
      <w:pPr>
        <w:spacing w:line="276" w:lineRule="auto"/>
        <w:jc w:val="both"/>
        <w:rPr>
          <w:rFonts w:ascii="Times New Roman" w:hAnsi="Times New Roman" w:cs="Times New Roman"/>
        </w:rPr>
      </w:pPr>
      <w:r w:rsidRPr="00B743B1">
        <w:rPr>
          <w:rFonts w:ascii="Times New Roman" w:hAnsi="Times New Roman" w:cs="Times New Roman"/>
        </w:rPr>
        <w:t>Les auteurs déclarent n’avoir aucun conflit d’intérêts lié à ce travail.</w:t>
      </w:r>
    </w:p>
    <w:p w14:paraId="6081082E" w14:textId="77777777" w:rsidR="00371C1B" w:rsidRDefault="00371C1B" w:rsidP="007E29DA">
      <w:pPr>
        <w:spacing w:line="276" w:lineRule="auto"/>
        <w:jc w:val="both"/>
        <w:rPr>
          <w:rFonts w:ascii="Times New Roman" w:hAnsi="Times New Roman" w:cs="Times New Roman"/>
          <w:b/>
          <w:bCs/>
        </w:rPr>
      </w:pPr>
    </w:p>
    <w:p w14:paraId="22A472AA" w14:textId="77777777" w:rsidR="00371C1B" w:rsidRDefault="00371C1B" w:rsidP="007E29DA">
      <w:pPr>
        <w:spacing w:line="276" w:lineRule="auto"/>
        <w:jc w:val="both"/>
        <w:rPr>
          <w:rFonts w:ascii="Times New Roman" w:hAnsi="Times New Roman" w:cs="Times New Roman"/>
          <w:b/>
          <w:bCs/>
        </w:rPr>
      </w:pPr>
    </w:p>
    <w:p w14:paraId="79D2C9AE" w14:textId="77777777" w:rsidR="00371C1B" w:rsidRDefault="00371C1B" w:rsidP="007E29DA">
      <w:pPr>
        <w:spacing w:line="276" w:lineRule="auto"/>
        <w:jc w:val="both"/>
        <w:rPr>
          <w:rFonts w:ascii="Times New Roman" w:hAnsi="Times New Roman" w:cs="Times New Roman"/>
          <w:b/>
          <w:bCs/>
        </w:rPr>
      </w:pPr>
    </w:p>
    <w:p w14:paraId="7FC37ABC" w14:textId="77777777" w:rsidR="00371C1B" w:rsidRDefault="00371C1B" w:rsidP="007E29DA">
      <w:pPr>
        <w:spacing w:line="276" w:lineRule="auto"/>
        <w:jc w:val="both"/>
        <w:rPr>
          <w:rFonts w:ascii="Times New Roman" w:hAnsi="Times New Roman" w:cs="Times New Roman"/>
          <w:b/>
          <w:bCs/>
        </w:rPr>
      </w:pPr>
    </w:p>
    <w:p w14:paraId="7AFF908A" w14:textId="77777777" w:rsidR="00B743B1" w:rsidRDefault="00B743B1" w:rsidP="007E29DA">
      <w:pPr>
        <w:spacing w:line="276" w:lineRule="auto"/>
        <w:jc w:val="both"/>
        <w:rPr>
          <w:rFonts w:ascii="Times New Roman" w:hAnsi="Times New Roman" w:cs="Times New Roman"/>
          <w:b/>
          <w:bCs/>
        </w:rPr>
      </w:pPr>
    </w:p>
    <w:p w14:paraId="26F0F1AE" w14:textId="77777777" w:rsidR="00B743B1" w:rsidRDefault="00B743B1" w:rsidP="007E29DA">
      <w:pPr>
        <w:spacing w:line="276" w:lineRule="auto"/>
        <w:jc w:val="both"/>
        <w:rPr>
          <w:rFonts w:ascii="Times New Roman" w:hAnsi="Times New Roman" w:cs="Times New Roman"/>
          <w:b/>
          <w:bCs/>
        </w:rPr>
      </w:pPr>
    </w:p>
    <w:p w14:paraId="003C5BC6" w14:textId="77777777" w:rsidR="00B743B1" w:rsidRDefault="00B743B1" w:rsidP="007E29DA">
      <w:pPr>
        <w:spacing w:line="276" w:lineRule="auto"/>
        <w:jc w:val="both"/>
        <w:rPr>
          <w:rFonts w:ascii="Times New Roman" w:hAnsi="Times New Roman" w:cs="Times New Roman"/>
          <w:b/>
          <w:bCs/>
        </w:rPr>
      </w:pPr>
    </w:p>
    <w:p w14:paraId="675E3B41" w14:textId="77777777" w:rsidR="00B743B1" w:rsidRDefault="00B743B1" w:rsidP="007E29DA">
      <w:pPr>
        <w:spacing w:line="276" w:lineRule="auto"/>
        <w:jc w:val="both"/>
        <w:rPr>
          <w:rFonts w:ascii="Times New Roman" w:hAnsi="Times New Roman" w:cs="Times New Roman"/>
          <w:b/>
          <w:bCs/>
        </w:rPr>
      </w:pPr>
    </w:p>
    <w:p w14:paraId="3E51D8DA" w14:textId="77777777" w:rsidR="00371C1B" w:rsidRDefault="00371C1B" w:rsidP="007E29DA">
      <w:pPr>
        <w:spacing w:line="276" w:lineRule="auto"/>
        <w:jc w:val="both"/>
        <w:rPr>
          <w:rFonts w:ascii="Times New Roman" w:hAnsi="Times New Roman" w:cs="Times New Roman"/>
          <w:b/>
          <w:bCs/>
        </w:rPr>
      </w:pPr>
    </w:p>
    <w:p w14:paraId="364A4255" w14:textId="77777777" w:rsidR="00B77CD0" w:rsidRDefault="00B77CD0" w:rsidP="007E29DA">
      <w:pPr>
        <w:spacing w:line="276" w:lineRule="auto"/>
        <w:jc w:val="both"/>
        <w:rPr>
          <w:rFonts w:ascii="Times New Roman" w:hAnsi="Times New Roman" w:cs="Times New Roman"/>
          <w:b/>
          <w:bCs/>
        </w:rPr>
      </w:pPr>
    </w:p>
    <w:p w14:paraId="57A3826B" w14:textId="77777777" w:rsidR="008374F3" w:rsidRDefault="008374F3" w:rsidP="007E29DA">
      <w:pPr>
        <w:spacing w:line="276" w:lineRule="auto"/>
        <w:jc w:val="both"/>
        <w:rPr>
          <w:rFonts w:ascii="Times New Roman" w:hAnsi="Times New Roman" w:cs="Times New Roman"/>
          <w:b/>
          <w:bCs/>
        </w:rPr>
      </w:pPr>
    </w:p>
    <w:p w14:paraId="4E83FCDE" w14:textId="5E1EF29E" w:rsidR="00371C1B" w:rsidRDefault="00371C1B" w:rsidP="0055575D">
      <w:pPr>
        <w:spacing w:line="276" w:lineRule="auto"/>
        <w:rPr>
          <w:rFonts w:ascii="Times New Roman" w:hAnsi="Times New Roman" w:cs="Times New Roman"/>
          <w:b/>
          <w:bCs/>
        </w:rPr>
      </w:pPr>
    </w:p>
    <w:p w14:paraId="44DE0C77" w14:textId="4C6BEBDE" w:rsidR="008374F3" w:rsidRPr="00215B42" w:rsidRDefault="002158D2" w:rsidP="008565D8">
      <w:pPr>
        <w:spacing w:line="276" w:lineRule="auto"/>
        <w:jc w:val="center"/>
        <w:rPr>
          <w:rFonts w:ascii="Times New Roman" w:hAnsi="Times New Roman" w:cs="Times New Roman"/>
          <w:b/>
          <w:bCs/>
          <w:i/>
          <w:iCs/>
          <w:sz w:val="28"/>
          <w:szCs w:val="28"/>
        </w:rPr>
      </w:pPr>
      <w:r w:rsidRPr="00215B42">
        <w:rPr>
          <w:rFonts w:ascii="Times New Roman" w:hAnsi="Times New Roman" w:cs="Times New Roman"/>
          <w:b/>
          <w:bCs/>
          <w:i/>
          <w:iCs/>
          <w:sz w:val="28"/>
          <w:szCs w:val="28"/>
        </w:rPr>
        <w:lastRenderedPageBreak/>
        <w:t xml:space="preserve">Le Rôle </w:t>
      </w:r>
      <w:r w:rsidR="00F36870" w:rsidRPr="00215B42">
        <w:rPr>
          <w:rFonts w:ascii="Times New Roman" w:hAnsi="Times New Roman" w:cs="Times New Roman"/>
          <w:b/>
          <w:bCs/>
          <w:i/>
          <w:iCs/>
          <w:sz w:val="28"/>
          <w:szCs w:val="28"/>
        </w:rPr>
        <w:t xml:space="preserve">Du Rwanda Dans </w:t>
      </w:r>
      <w:r w:rsidR="006B568B" w:rsidRPr="00215B42">
        <w:rPr>
          <w:rFonts w:ascii="Times New Roman" w:hAnsi="Times New Roman" w:cs="Times New Roman"/>
          <w:b/>
          <w:bCs/>
          <w:i/>
          <w:iCs/>
          <w:sz w:val="28"/>
          <w:szCs w:val="28"/>
        </w:rPr>
        <w:t>L</w:t>
      </w:r>
      <w:r w:rsidR="00F36870" w:rsidRPr="00215B42">
        <w:rPr>
          <w:rFonts w:ascii="Times New Roman" w:hAnsi="Times New Roman" w:cs="Times New Roman"/>
          <w:b/>
          <w:bCs/>
          <w:i/>
          <w:iCs/>
          <w:sz w:val="28"/>
          <w:szCs w:val="28"/>
        </w:rPr>
        <w:t>e Conflit Du M23</w:t>
      </w:r>
      <w:r w:rsidR="00A3717E" w:rsidRPr="00215B42">
        <w:rPr>
          <w:rFonts w:ascii="Times New Roman" w:hAnsi="Times New Roman" w:cs="Times New Roman"/>
          <w:b/>
          <w:bCs/>
          <w:i/>
          <w:iCs/>
          <w:sz w:val="28"/>
          <w:szCs w:val="28"/>
        </w:rPr>
        <w:t> : En</w:t>
      </w:r>
      <w:r w:rsidR="007A0F57" w:rsidRPr="00215B42">
        <w:rPr>
          <w:rFonts w:ascii="Times New Roman" w:hAnsi="Times New Roman" w:cs="Times New Roman"/>
          <w:b/>
          <w:bCs/>
          <w:i/>
          <w:iCs/>
          <w:sz w:val="28"/>
          <w:szCs w:val="28"/>
        </w:rPr>
        <w:t>tre Influence Régionale Et Violation Du Droit International</w:t>
      </w:r>
    </w:p>
    <w:p w14:paraId="782BE5AA" w14:textId="49871434" w:rsidR="008374F3" w:rsidRPr="00215B42" w:rsidRDefault="005E2347" w:rsidP="00371C1B">
      <w:pPr>
        <w:spacing w:line="276" w:lineRule="auto"/>
        <w:jc w:val="center"/>
        <w:rPr>
          <w:rFonts w:ascii="Times New Roman" w:hAnsi="Times New Roman" w:cs="Times New Roman"/>
          <w:b/>
          <w:bCs/>
          <w:i/>
          <w:iCs/>
          <w:sz w:val="28"/>
          <w:szCs w:val="28"/>
        </w:rPr>
      </w:pPr>
      <w:r w:rsidRPr="00215B42">
        <w:rPr>
          <w:rFonts w:ascii="Times New Roman" w:hAnsi="Times New Roman" w:cs="Times New Roman"/>
          <w:b/>
          <w:bCs/>
          <w:i/>
          <w:iCs/>
          <w:sz w:val="28"/>
          <w:szCs w:val="28"/>
        </w:rPr>
        <w:t>[</w:t>
      </w:r>
      <w:r w:rsidR="00FA188F" w:rsidRPr="00215B42">
        <w:rPr>
          <w:rFonts w:ascii="Times New Roman" w:hAnsi="Times New Roman" w:cs="Times New Roman"/>
          <w:b/>
          <w:bCs/>
          <w:i/>
          <w:iCs/>
          <w:sz w:val="28"/>
          <w:szCs w:val="28"/>
        </w:rPr>
        <w:t>The Role Of Rwanda In The M23 Conflict</w:t>
      </w:r>
      <w:r w:rsidR="008374F3" w:rsidRPr="00215B42">
        <w:rPr>
          <w:rFonts w:ascii="Times New Roman" w:hAnsi="Times New Roman" w:cs="Times New Roman"/>
          <w:b/>
          <w:bCs/>
          <w:i/>
          <w:iCs/>
          <w:sz w:val="28"/>
          <w:szCs w:val="28"/>
        </w:rPr>
        <w:t xml:space="preserve"> : </w:t>
      </w:r>
      <w:r w:rsidR="0055575D" w:rsidRPr="00215B42">
        <w:rPr>
          <w:rFonts w:ascii="Times New Roman" w:hAnsi="Times New Roman" w:cs="Times New Roman"/>
          <w:b/>
          <w:bCs/>
          <w:i/>
          <w:iCs/>
          <w:sz w:val="28"/>
          <w:szCs w:val="28"/>
        </w:rPr>
        <w:t>Between Regional Influence And The Violation Of International Law</w:t>
      </w:r>
      <w:r w:rsidRPr="00215B42">
        <w:rPr>
          <w:rFonts w:ascii="Times New Roman" w:hAnsi="Times New Roman" w:cs="Times New Roman"/>
          <w:b/>
          <w:bCs/>
          <w:i/>
          <w:iCs/>
          <w:sz w:val="28"/>
          <w:szCs w:val="28"/>
        </w:rPr>
        <w:t>]</w:t>
      </w:r>
    </w:p>
    <w:p w14:paraId="6F3AA0FC" w14:textId="77777777" w:rsidR="00371C1B" w:rsidRDefault="00371C1B" w:rsidP="007E29DA">
      <w:pPr>
        <w:spacing w:line="276" w:lineRule="auto"/>
        <w:jc w:val="both"/>
        <w:rPr>
          <w:rFonts w:ascii="Times New Roman" w:hAnsi="Times New Roman" w:cs="Times New Roman"/>
          <w:b/>
          <w:bCs/>
        </w:rPr>
      </w:pPr>
    </w:p>
    <w:p w14:paraId="4ED49EBC" w14:textId="3888B2A8" w:rsidR="0083496D" w:rsidRPr="0083496D" w:rsidRDefault="0083496D" w:rsidP="007E29DA">
      <w:pPr>
        <w:spacing w:line="276" w:lineRule="auto"/>
        <w:jc w:val="both"/>
        <w:rPr>
          <w:rFonts w:ascii="Times New Roman" w:hAnsi="Times New Roman" w:cs="Times New Roman"/>
          <w:b/>
          <w:bCs/>
        </w:rPr>
      </w:pPr>
      <w:r w:rsidRPr="0083496D">
        <w:rPr>
          <w:rFonts w:ascii="Times New Roman" w:hAnsi="Times New Roman" w:cs="Times New Roman"/>
          <w:b/>
          <w:bCs/>
        </w:rPr>
        <w:t>RÉSUMÉ</w:t>
      </w:r>
    </w:p>
    <w:p w14:paraId="512838BA" w14:textId="7618D530" w:rsidR="0083496D" w:rsidRDefault="0083496D" w:rsidP="007E29DA">
      <w:pPr>
        <w:spacing w:line="276" w:lineRule="auto"/>
        <w:jc w:val="both"/>
        <w:rPr>
          <w:rFonts w:ascii="Times New Roman" w:hAnsi="Times New Roman" w:cs="Times New Roman"/>
        </w:rPr>
      </w:pPr>
      <w:r>
        <w:rPr>
          <w:rFonts w:ascii="Times New Roman" w:hAnsi="Times New Roman" w:cs="Times New Roman"/>
        </w:rPr>
        <w:t xml:space="preserve">La résurgence du Mouvement du 23 mars (M23) à l’Est de la République Démocratique du Congo (2021-2026) a réactivé l’une des crises géopolitiques les plus complexes de la région des Grands Lacs. Alors que Kigali qualifie ce conflit de crise interne congolaise, la persistance des affrontements soulève la question centrale de l’ingérence étrangère. Cet article analyse le rôle du Rwanda à travers une double grille de lecture : le réalisme offensif en relations internationales et la responsabilité de l’État en droit international public. En s’appuyant sur une analyse critique des rapports du Groupe d’experts de l’ONU, des données géospatiales et de la jurisprudence internationale, cette étude démontre que le soutien rwandais dépasse la simple influence diplomatique pour constituer une intervention militaire directe (« boots on the ground »). Les résultats mettent en évidence une stratégie hybride où le Rwanda utilise le M23 comme vecteur de projection de puissance pour sécuriser une zone tampon et des intérêts économiques, </w:t>
      </w:r>
      <w:r w:rsidR="00A53E0E">
        <w:rPr>
          <w:rFonts w:ascii="Times New Roman" w:hAnsi="Times New Roman" w:cs="Times New Roman"/>
        </w:rPr>
        <w:t>remettant substantiellement en cause le principe de non-agression</w:t>
      </w:r>
      <w:r>
        <w:rPr>
          <w:rFonts w:ascii="Times New Roman" w:hAnsi="Times New Roman" w:cs="Times New Roman"/>
        </w:rPr>
        <w:t xml:space="preserve"> et de l’intégrité territoriale de la RDC. L’article conclut que sans une requalification juridique de cette agression et l’application de mécanismes coercitifs internationaux, la stabilité régionale demeurera illusoire.</w:t>
      </w:r>
    </w:p>
    <w:p w14:paraId="3A154F1B" w14:textId="5C79DE09" w:rsidR="0083496D" w:rsidRDefault="0083496D" w:rsidP="007E29DA">
      <w:pPr>
        <w:spacing w:line="276" w:lineRule="auto"/>
        <w:jc w:val="both"/>
        <w:rPr>
          <w:rFonts w:ascii="Times New Roman" w:hAnsi="Times New Roman" w:cs="Times New Roman"/>
        </w:rPr>
      </w:pPr>
      <w:r w:rsidRPr="0083496D">
        <w:rPr>
          <w:rFonts w:ascii="Times New Roman" w:hAnsi="Times New Roman" w:cs="Times New Roman"/>
          <w:b/>
          <w:bCs/>
        </w:rPr>
        <w:t>Mots-clés</w:t>
      </w:r>
      <w:r>
        <w:rPr>
          <w:rFonts w:ascii="Times New Roman" w:hAnsi="Times New Roman" w:cs="Times New Roman"/>
        </w:rPr>
        <w:t> : RDC, Rwanda, M23, Droit International, Géopolitique, Agression, Sécurité régionale.</w:t>
      </w:r>
    </w:p>
    <w:p w14:paraId="6742B4A0" w14:textId="77777777" w:rsidR="00A53E0E" w:rsidRDefault="00A53E0E" w:rsidP="007E29DA">
      <w:pPr>
        <w:spacing w:line="276" w:lineRule="auto"/>
        <w:jc w:val="both"/>
        <w:rPr>
          <w:rFonts w:ascii="Times New Roman" w:hAnsi="Times New Roman" w:cs="Times New Roman"/>
        </w:rPr>
      </w:pPr>
    </w:p>
    <w:p w14:paraId="435DA1F4" w14:textId="7A1AE681" w:rsidR="0083496D" w:rsidRPr="0083496D" w:rsidRDefault="0083496D" w:rsidP="007E29DA">
      <w:pPr>
        <w:spacing w:line="276" w:lineRule="auto"/>
        <w:jc w:val="both"/>
        <w:rPr>
          <w:rFonts w:ascii="Times New Roman" w:hAnsi="Times New Roman" w:cs="Times New Roman"/>
          <w:b/>
          <w:bCs/>
        </w:rPr>
      </w:pPr>
      <w:r w:rsidRPr="0083496D">
        <w:rPr>
          <w:rFonts w:ascii="Times New Roman" w:hAnsi="Times New Roman" w:cs="Times New Roman"/>
          <w:b/>
          <w:bCs/>
        </w:rPr>
        <w:t>ABSTRACT</w:t>
      </w:r>
    </w:p>
    <w:p w14:paraId="62088596" w14:textId="223DF239" w:rsidR="0083496D" w:rsidRDefault="000139B2" w:rsidP="007E29DA">
      <w:pPr>
        <w:spacing w:line="276" w:lineRule="auto"/>
        <w:jc w:val="both"/>
        <w:rPr>
          <w:rFonts w:ascii="Times New Roman" w:hAnsi="Times New Roman" w:cs="Times New Roman"/>
        </w:rPr>
      </w:pPr>
      <w:r>
        <w:rPr>
          <w:rFonts w:ascii="Times New Roman" w:hAnsi="Times New Roman" w:cs="Times New Roman"/>
        </w:rPr>
        <w:t xml:space="preserve">The resurgence of the March 23 Movement (M23) in the Eastern Democratic Republic of the Congo (2021–2026) has </w:t>
      </w:r>
      <w:proofErr w:type="spellStart"/>
      <w:r>
        <w:rPr>
          <w:rFonts w:ascii="Times New Roman" w:hAnsi="Times New Roman" w:cs="Times New Roman"/>
        </w:rPr>
        <w:t>reignited</w:t>
      </w:r>
      <w:proofErr w:type="spellEnd"/>
      <w:r>
        <w:rPr>
          <w:rFonts w:ascii="Times New Roman" w:hAnsi="Times New Roman" w:cs="Times New Roman"/>
        </w:rPr>
        <w:t xml:space="preserve"> one of the Great Lakes </w:t>
      </w:r>
      <w:proofErr w:type="spellStart"/>
      <w:r>
        <w:rPr>
          <w:rFonts w:ascii="Times New Roman" w:hAnsi="Times New Roman" w:cs="Times New Roman"/>
        </w:rPr>
        <w:t>region’s</w:t>
      </w:r>
      <w:proofErr w:type="spellEnd"/>
      <w:r>
        <w:rPr>
          <w:rFonts w:ascii="Times New Roman" w:hAnsi="Times New Roman" w:cs="Times New Roman"/>
        </w:rPr>
        <w:t xml:space="preserve"> most complex geopolitical crises. While Kigali </w:t>
      </w:r>
      <w:proofErr w:type="spellStart"/>
      <w:r>
        <w:rPr>
          <w:rFonts w:ascii="Times New Roman" w:hAnsi="Times New Roman" w:cs="Times New Roman"/>
        </w:rPr>
        <w:t>characterizes</w:t>
      </w:r>
      <w:proofErr w:type="spellEnd"/>
      <w:r>
        <w:rPr>
          <w:rFonts w:ascii="Times New Roman" w:hAnsi="Times New Roman" w:cs="Times New Roman"/>
        </w:rPr>
        <w:t xml:space="preserve"> this conflict as an internal Congolese crisis, the persistence of hostilities raises the central question of foreign interference. This article analyzes </w:t>
      </w:r>
      <w:proofErr w:type="spellStart"/>
      <w:r>
        <w:rPr>
          <w:rFonts w:ascii="Times New Roman" w:hAnsi="Times New Roman" w:cs="Times New Roman"/>
        </w:rPr>
        <w:t>Rwanda’s</w:t>
      </w:r>
      <w:proofErr w:type="spellEnd"/>
      <w:r>
        <w:rPr>
          <w:rFonts w:ascii="Times New Roman" w:hAnsi="Times New Roman" w:cs="Times New Roman"/>
        </w:rPr>
        <w:t xml:space="preserve"> role through a dual framework : offensive realism in international relations and state responsibility in public international law. </w:t>
      </w:r>
      <w:proofErr w:type="spellStart"/>
      <w:r>
        <w:rPr>
          <w:rFonts w:ascii="Times New Roman" w:hAnsi="Times New Roman" w:cs="Times New Roman"/>
        </w:rPr>
        <w:t>Drawing</w:t>
      </w:r>
      <w:proofErr w:type="spellEnd"/>
      <w:r>
        <w:rPr>
          <w:rFonts w:ascii="Times New Roman" w:hAnsi="Times New Roman" w:cs="Times New Roman"/>
        </w:rPr>
        <w:t xml:space="preserve"> on a critical analysis of UN Group of Experts reports, </w:t>
      </w:r>
      <w:proofErr w:type="spellStart"/>
      <w:r>
        <w:rPr>
          <w:rFonts w:ascii="Times New Roman" w:hAnsi="Times New Roman" w:cs="Times New Roman"/>
        </w:rPr>
        <w:t>geospatial</w:t>
      </w:r>
      <w:proofErr w:type="spellEnd"/>
      <w:r>
        <w:rPr>
          <w:rFonts w:ascii="Times New Roman" w:hAnsi="Times New Roman" w:cs="Times New Roman"/>
        </w:rPr>
        <w:t xml:space="preserve"> data, and international jurisprudence, this study demonstrates that Rwandan support transcends mere diplomatic influence, </w:t>
      </w:r>
      <w:proofErr w:type="spellStart"/>
      <w:r>
        <w:rPr>
          <w:rFonts w:ascii="Times New Roman" w:hAnsi="Times New Roman" w:cs="Times New Roman"/>
        </w:rPr>
        <w:t>constituting</w:t>
      </w:r>
      <w:proofErr w:type="spellEnd"/>
      <w:r>
        <w:rPr>
          <w:rFonts w:ascii="Times New Roman" w:hAnsi="Times New Roman" w:cs="Times New Roman"/>
        </w:rPr>
        <w:t xml:space="preserve"> direct military intervention (« boots on the ground »). The findings highlight a hybrid strategy </w:t>
      </w:r>
      <w:proofErr w:type="spellStart"/>
      <w:r>
        <w:rPr>
          <w:rFonts w:ascii="Times New Roman" w:hAnsi="Times New Roman" w:cs="Times New Roman"/>
        </w:rPr>
        <w:t>wherein</w:t>
      </w:r>
      <w:proofErr w:type="spellEnd"/>
      <w:r>
        <w:rPr>
          <w:rFonts w:ascii="Times New Roman" w:hAnsi="Times New Roman" w:cs="Times New Roman"/>
        </w:rPr>
        <w:t xml:space="preserve"> Rwanda </w:t>
      </w:r>
      <w:proofErr w:type="spellStart"/>
      <w:r>
        <w:rPr>
          <w:rFonts w:ascii="Times New Roman" w:hAnsi="Times New Roman" w:cs="Times New Roman"/>
        </w:rPr>
        <w:t>utilizes</w:t>
      </w:r>
      <w:proofErr w:type="spellEnd"/>
      <w:r>
        <w:rPr>
          <w:rFonts w:ascii="Times New Roman" w:hAnsi="Times New Roman" w:cs="Times New Roman"/>
        </w:rPr>
        <w:t xml:space="preserve"> the M23 as a vector for power projection to secure a strategic buffer zone and economic interests, </w:t>
      </w:r>
      <w:proofErr w:type="spellStart"/>
      <w:r>
        <w:rPr>
          <w:rFonts w:ascii="Times New Roman" w:hAnsi="Times New Roman" w:cs="Times New Roman"/>
        </w:rPr>
        <w:t>substantially</w:t>
      </w:r>
      <w:proofErr w:type="spellEnd"/>
      <w:r>
        <w:rPr>
          <w:rFonts w:ascii="Times New Roman" w:hAnsi="Times New Roman" w:cs="Times New Roman"/>
        </w:rPr>
        <w:t xml:space="preserve"> challenging the</w:t>
      </w:r>
      <w:r w:rsidR="008D08C9">
        <w:rPr>
          <w:rFonts w:ascii="Times New Roman" w:hAnsi="Times New Roman" w:cs="Times New Roman"/>
        </w:rPr>
        <w:t xml:space="preserve"> principle of </w:t>
      </w:r>
      <w:proofErr w:type="spellStart"/>
      <w:r w:rsidR="008D08C9">
        <w:rPr>
          <w:rFonts w:ascii="Times New Roman" w:hAnsi="Times New Roman" w:cs="Times New Roman"/>
        </w:rPr>
        <w:t>non-aggression</w:t>
      </w:r>
      <w:proofErr w:type="spellEnd"/>
      <w:r w:rsidR="008D08C9">
        <w:rPr>
          <w:rFonts w:ascii="Times New Roman" w:hAnsi="Times New Roman" w:cs="Times New Roman"/>
        </w:rPr>
        <w:t xml:space="preserve"> and the territorial integrity of the DRC. The article concludes that without a legal requalification of this aggression and the implementation of international coercive mechanisms, regional stability will remain </w:t>
      </w:r>
      <w:proofErr w:type="spellStart"/>
      <w:r w:rsidR="008D08C9">
        <w:rPr>
          <w:rFonts w:ascii="Times New Roman" w:hAnsi="Times New Roman" w:cs="Times New Roman"/>
        </w:rPr>
        <w:t>elusive</w:t>
      </w:r>
      <w:proofErr w:type="spellEnd"/>
      <w:r w:rsidR="008D08C9">
        <w:rPr>
          <w:rFonts w:ascii="Times New Roman" w:hAnsi="Times New Roman" w:cs="Times New Roman"/>
        </w:rPr>
        <w:t>.</w:t>
      </w:r>
    </w:p>
    <w:p w14:paraId="72B8F5E7" w14:textId="5469C346" w:rsidR="00376F53" w:rsidRDefault="0083496D" w:rsidP="007E29DA">
      <w:pPr>
        <w:spacing w:line="276" w:lineRule="auto"/>
        <w:jc w:val="both"/>
        <w:rPr>
          <w:rFonts w:ascii="Times New Roman" w:hAnsi="Times New Roman" w:cs="Times New Roman"/>
        </w:rPr>
      </w:pPr>
      <w:r w:rsidRPr="0083496D">
        <w:rPr>
          <w:rFonts w:ascii="Times New Roman" w:hAnsi="Times New Roman" w:cs="Times New Roman"/>
          <w:b/>
          <w:bCs/>
        </w:rPr>
        <w:t>Keywords</w:t>
      </w:r>
      <w:r>
        <w:rPr>
          <w:rFonts w:ascii="Times New Roman" w:hAnsi="Times New Roman" w:cs="Times New Roman"/>
        </w:rPr>
        <w:t> : DRC, Rwanda, M23, International Law, Geopolitics, Aggression, Regional Security.</w:t>
      </w:r>
    </w:p>
    <w:p w14:paraId="2DA516E9" w14:textId="64174060" w:rsidR="00CA6A2E" w:rsidRPr="00376F53" w:rsidRDefault="00CA6A2E" w:rsidP="002E3754">
      <w:pPr>
        <w:pStyle w:val="Paragraphedeliste"/>
        <w:numPr>
          <w:ilvl w:val="0"/>
          <w:numId w:val="18"/>
        </w:numPr>
        <w:spacing w:line="360" w:lineRule="auto"/>
        <w:jc w:val="both"/>
        <w:rPr>
          <w:rFonts w:ascii="Times New Roman" w:hAnsi="Times New Roman" w:cs="Times New Roman"/>
        </w:rPr>
      </w:pPr>
      <w:r w:rsidRPr="00376F53">
        <w:rPr>
          <w:rFonts w:ascii="Times New Roman" w:hAnsi="Times New Roman" w:cs="Times New Roman"/>
          <w:b/>
          <w:bCs/>
        </w:rPr>
        <w:lastRenderedPageBreak/>
        <w:t>INTRODUCTION</w:t>
      </w:r>
    </w:p>
    <w:p w14:paraId="32B8F461" w14:textId="24AFF8A5" w:rsidR="00CA6A2E" w:rsidRPr="00CA6A2E" w:rsidRDefault="00CA6A2E" w:rsidP="002E3754">
      <w:pPr>
        <w:spacing w:line="360" w:lineRule="auto"/>
        <w:jc w:val="both"/>
        <w:rPr>
          <w:rFonts w:ascii="Times New Roman" w:hAnsi="Times New Roman" w:cs="Times New Roman"/>
          <w:b/>
          <w:bCs/>
          <w:i/>
          <w:iCs/>
        </w:rPr>
      </w:pPr>
      <w:r w:rsidRPr="00CA6A2E">
        <w:rPr>
          <w:rFonts w:ascii="Times New Roman" w:hAnsi="Times New Roman" w:cs="Times New Roman"/>
        </w:rPr>
        <w:t xml:space="preserve">1.1. </w:t>
      </w:r>
      <w:r w:rsidRPr="00CA6A2E">
        <w:rPr>
          <w:rFonts w:ascii="Times New Roman" w:hAnsi="Times New Roman" w:cs="Times New Roman"/>
          <w:b/>
          <w:bCs/>
          <w:i/>
          <w:iCs/>
        </w:rPr>
        <w:t>Contexte général : L’Est de la RDC, un complexe d’insécurité durable</w:t>
      </w:r>
    </w:p>
    <w:p w14:paraId="6C224933" w14:textId="0DE2A018" w:rsidR="00CA6A2E" w:rsidRPr="00CA6A2E" w:rsidRDefault="00CA6A2E" w:rsidP="002E3754">
      <w:pPr>
        <w:spacing w:line="360" w:lineRule="auto"/>
        <w:jc w:val="both"/>
        <w:rPr>
          <w:rFonts w:ascii="Times New Roman" w:hAnsi="Times New Roman" w:cs="Times New Roman"/>
        </w:rPr>
      </w:pPr>
      <w:r w:rsidRPr="00CA6A2E">
        <w:rPr>
          <w:rFonts w:ascii="Times New Roman" w:hAnsi="Times New Roman" w:cs="Times New Roman"/>
        </w:rPr>
        <w:t>Depuis près de trois décennies, la partie orientale de la République Démocratique du Congo (RDC), spécifiquement les provinces du Nord-Kivu, du Sud-Kivu et de l’Ituri, demeure l’épicentre d’une instabilité chronique défiant les mécanismes classiques de résolution des conflits [1]. Ce théâtre d’opérations, caractérisé par une porosité frontalière et une gouvernance sécuritaire défaillante, a vu proliférer une multitude de groupes armés, tant nationaux qu’étrangers. Cependant, parmi cette myriade d’acteurs, le Mouvement du 23 mars (M23) occupe une place singulière par sa capacité de projection militaire et ses ramifications géopolitiques.</w:t>
      </w:r>
    </w:p>
    <w:p w14:paraId="08778C8F" w14:textId="77777777" w:rsidR="00330579" w:rsidRDefault="00CA6A2E" w:rsidP="002E3754">
      <w:pPr>
        <w:spacing w:line="360" w:lineRule="auto"/>
        <w:jc w:val="both"/>
        <w:rPr>
          <w:rFonts w:ascii="Times New Roman" w:hAnsi="Times New Roman" w:cs="Times New Roman"/>
        </w:rPr>
      </w:pPr>
      <w:r w:rsidRPr="00CA6A2E">
        <w:rPr>
          <w:rFonts w:ascii="Times New Roman" w:hAnsi="Times New Roman" w:cs="Times New Roman"/>
        </w:rPr>
        <w:t xml:space="preserve">Né des cendres du Congrès National pour la Défense du Peuple (CNDP), le M23 s’est initialement fait connaître par une insurrection majeure en 2012-2013, culminant avec la prise éphémère de la ville stratégique de Goma. Défait militairement en 2013 grâce à l’intervention de la Brigade d’Intervention de la Force (FIB) de la MONUSCO et contraint à l’exil, le mouvement semblait avoir été neutralisé [2]. </w:t>
      </w:r>
    </w:p>
    <w:p w14:paraId="2D6F5819" w14:textId="544CC2D8" w:rsidR="00CA6A2E" w:rsidRDefault="00CA6A2E" w:rsidP="002E3754">
      <w:pPr>
        <w:spacing w:line="360" w:lineRule="auto"/>
        <w:jc w:val="both"/>
        <w:rPr>
          <w:rFonts w:ascii="Times New Roman" w:hAnsi="Times New Roman" w:cs="Times New Roman"/>
        </w:rPr>
      </w:pPr>
      <w:r w:rsidRPr="00CA6A2E">
        <w:rPr>
          <w:rFonts w:ascii="Times New Roman" w:hAnsi="Times New Roman" w:cs="Times New Roman"/>
        </w:rPr>
        <w:t xml:space="preserve">Pourtant, sa résurgence brutale à partir de novembre 2021, s’étendant jusqu’en 2026, a pris de court les observateurs. Cette renaissance ne s’apparente pas à une simple reconstitution de forces résiduelles ; elle témoigne d’une montée en puissance ( </w:t>
      </w:r>
      <w:proofErr w:type="spellStart"/>
      <w:r w:rsidRPr="00CA6A2E">
        <w:rPr>
          <w:rFonts w:ascii="Times New Roman" w:hAnsi="Times New Roman" w:cs="Times New Roman"/>
        </w:rPr>
        <w:t>upgrading</w:t>
      </w:r>
      <w:proofErr w:type="spellEnd"/>
      <w:r w:rsidRPr="00CA6A2E">
        <w:rPr>
          <w:rFonts w:ascii="Times New Roman" w:hAnsi="Times New Roman" w:cs="Times New Roman"/>
        </w:rPr>
        <w:t xml:space="preserve"> ) tactique et logistique qui interroge directement l’implication d’acteurs étatiques voisins, dans un contexte où les groupes armés étrangers (tels que les FDLR ou les ADF) servent souvent de prétexte à des ingérences régionales [3].</w:t>
      </w:r>
      <w:r w:rsidR="009D1C41">
        <w:rPr>
          <w:rFonts w:ascii="Times New Roman" w:hAnsi="Times New Roman" w:cs="Times New Roman"/>
        </w:rPr>
        <w:t xml:space="preserve"> Cette dynamique s’inscrit dans une tendance plus large de « guerre hybride numérisée » observée récemment sur le continent africain [20].</w:t>
      </w:r>
    </w:p>
    <w:p w14:paraId="57E2EF0B" w14:textId="2E232CD9" w:rsidR="00E81B2A" w:rsidRPr="00CF0186" w:rsidRDefault="00CF0186" w:rsidP="00E81B2A">
      <w:pPr>
        <w:pStyle w:val="Paragraphedeliste"/>
        <w:numPr>
          <w:ilvl w:val="1"/>
          <w:numId w:val="18"/>
        </w:numPr>
        <w:spacing w:line="360" w:lineRule="auto"/>
        <w:jc w:val="both"/>
        <w:rPr>
          <w:rFonts w:ascii="Times New Roman" w:hAnsi="Times New Roman" w:cs="Times New Roman"/>
          <w:b/>
          <w:bCs/>
          <w:i/>
          <w:iCs/>
        </w:rPr>
      </w:pPr>
      <w:r>
        <w:rPr>
          <w:rFonts w:ascii="Times New Roman" w:hAnsi="Times New Roman" w:cs="Times New Roman"/>
        </w:rPr>
        <w:t xml:space="preserve"> </w:t>
      </w:r>
      <w:r w:rsidR="00E81B2A" w:rsidRPr="00CF0186">
        <w:rPr>
          <w:rFonts w:ascii="Times New Roman" w:hAnsi="Times New Roman" w:cs="Times New Roman"/>
          <w:b/>
          <w:bCs/>
          <w:i/>
          <w:iCs/>
        </w:rPr>
        <w:t>État de l’art et originalité de la recherche</w:t>
      </w:r>
    </w:p>
    <w:p w14:paraId="37F967AA" w14:textId="447AF6BC" w:rsidR="00E81B2A" w:rsidRDefault="00E81B2A" w:rsidP="002E3754">
      <w:pPr>
        <w:spacing w:line="360" w:lineRule="auto"/>
        <w:jc w:val="both"/>
        <w:rPr>
          <w:rFonts w:ascii="Times New Roman" w:hAnsi="Times New Roman" w:cs="Times New Roman"/>
        </w:rPr>
      </w:pPr>
      <w:r>
        <w:rPr>
          <w:rFonts w:ascii="Times New Roman" w:hAnsi="Times New Roman" w:cs="Times New Roman"/>
        </w:rPr>
        <w:t>La conflictualité dans les Grands Lacs a fait l’objet d’une littérature académique dense. Les travaux fondateurs de Jason Stearns ont minutieusement décortiqué la fragmentation des groupes armés et la logique de « violence locale » qui échappe souvent aux grilles de lecture internationales [2]. Parallèlement, Filip Reyntjens a analysé la gouvernance post-génocide du Rwanda, mettant en lumière la projection de puissance de Kigali comme outil de survie du régime [5]. Enfin, Séverine Autesserre a démontré les failles structurelles des interventions de paix onusiennes, souvent déconnectées des réalités micro-locales [7].</w:t>
      </w:r>
    </w:p>
    <w:p w14:paraId="73F9F368" w14:textId="563F8649" w:rsidR="007E4164" w:rsidRDefault="007E4164" w:rsidP="002E3754">
      <w:pPr>
        <w:spacing w:line="360" w:lineRule="auto"/>
        <w:jc w:val="both"/>
        <w:rPr>
          <w:rFonts w:ascii="Times New Roman" w:hAnsi="Times New Roman" w:cs="Times New Roman"/>
        </w:rPr>
      </w:pPr>
      <w:r>
        <w:rPr>
          <w:rFonts w:ascii="Times New Roman" w:hAnsi="Times New Roman" w:cs="Times New Roman"/>
        </w:rPr>
        <w:lastRenderedPageBreak/>
        <w:t>Cependant, ces travaux séminaux se concentrent majoritairement sur les cycles conflictuels précédents (1996-2013) ou sur des analyses sociologiques endogènes. La présente étude se démarque de cette littérature existante par trois apports spécifiques :</w:t>
      </w:r>
    </w:p>
    <w:p w14:paraId="67B2D9AC" w14:textId="3CF41B9A" w:rsidR="00D9263F" w:rsidRPr="00D9263F" w:rsidRDefault="00D9263F" w:rsidP="00D9263F">
      <w:pPr>
        <w:pStyle w:val="Paragraphedeliste"/>
        <w:numPr>
          <w:ilvl w:val="0"/>
          <w:numId w:val="19"/>
        </w:numPr>
        <w:spacing w:line="360" w:lineRule="auto"/>
        <w:jc w:val="both"/>
        <w:rPr>
          <w:rFonts w:ascii="Times New Roman" w:hAnsi="Times New Roman" w:cs="Times New Roman"/>
        </w:rPr>
      </w:pPr>
      <w:r w:rsidRPr="00D9263F">
        <w:rPr>
          <w:rFonts w:ascii="Times New Roman" w:hAnsi="Times New Roman" w:cs="Times New Roman"/>
          <w:b/>
          <w:bCs/>
        </w:rPr>
        <w:t>L’actualisation temporelle </w:t>
      </w:r>
      <w:r w:rsidRPr="00D9263F">
        <w:rPr>
          <w:rFonts w:ascii="Times New Roman" w:hAnsi="Times New Roman" w:cs="Times New Roman"/>
        </w:rPr>
        <w:t>: Elle se focalise sur la résurgence du M23 (2021-2026), une phase distincte caractérisée par une professionnalisation militaire et une technologie (drones, missiles) absente des cycles antérieurs.</w:t>
      </w:r>
    </w:p>
    <w:p w14:paraId="53558F53" w14:textId="1776A0AA" w:rsidR="00D9263F" w:rsidRPr="00D9263F" w:rsidRDefault="00D9263F" w:rsidP="00D9263F">
      <w:pPr>
        <w:pStyle w:val="Paragraphedeliste"/>
        <w:numPr>
          <w:ilvl w:val="0"/>
          <w:numId w:val="19"/>
        </w:numPr>
        <w:spacing w:line="360" w:lineRule="auto"/>
        <w:jc w:val="both"/>
        <w:rPr>
          <w:rFonts w:ascii="Times New Roman" w:hAnsi="Times New Roman" w:cs="Times New Roman"/>
        </w:rPr>
      </w:pPr>
      <w:r w:rsidRPr="00D9263F">
        <w:rPr>
          <w:rFonts w:ascii="Times New Roman" w:hAnsi="Times New Roman" w:cs="Times New Roman"/>
          <w:b/>
          <w:bCs/>
        </w:rPr>
        <w:t>L’approche méthodologique </w:t>
      </w:r>
      <w:r w:rsidRPr="00D9263F">
        <w:rPr>
          <w:rFonts w:ascii="Times New Roman" w:hAnsi="Times New Roman" w:cs="Times New Roman"/>
        </w:rPr>
        <w:t>: Contrairement aux approches purement qualitatives ou ethnographiques, cet article mobilise le Renseignement d’Origine Sources Ouvertes (OSINT) et l’imagerie satellitaire pour objectiver matériellement l’intervention étatique, dépassant ainsi les simples témoignages.</w:t>
      </w:r>
    </w:p>
    <w:p w14:paraId="146835F3" w14:textId="12E3F54D" w:rsidR="00D9263F" w:rsidRPr="00D9263F" w:rsidRDefault="00D9263F" w:rsidP="00D9263F">
      <w:pPr>
        <w:pStyle w:val="Paragraphedeliste"/>
        <w:numPr>
          <w:ilvl w:val="0"/>
          <w:numId w:val="19"/>
        </w:numPr>
        <w:spacing w:line="360" w:lineRule="auto"/>
        <w:jc w:val="both"/>
        <w:rPr>
          <w:rFonts w:ascii="Times New Roman" w:hAnsi="Times New Roman" w:cs="Times New Roman"/>
        </w:rPr>
      </w:pPr>
      <w:r w:rsidRPr="00D9263F">
        <w:rPr>
          <w:rFonts w:ascii="Times New Roman" w:hAnsi="Times New Roman" w:cs="Times New Roman"/>
          <w:b/>
          <w:bCs/>
        </w:rPr>
        <w:t>L’articulation Droit-Puissance </w:t>
      </w:r>
      <w:r w:rsidRPr="00D9263F">
        <w:rPr>
          <w:rFonts w:ascii="Times New Roman" w:hAnsi="Times New Roman" w:cs="Times New Roman"/>
        </w:rPr>
        <w:t>: Là où la plupart des études séparent l’analyse juridique de l’analyse géopolitique, nous proposons une lecture croisée montrant comment la violation du droit international (l’agression) sert d’instrument rationnel de politique étrangère (le réalisme).</w:t>
      </w:r>
    </w:p>
    <w:p w14:paraId="6EDB0306" w14:textId="3B78B81E" w:rsidR="00CA6A2E" w:rsidRPr="00C05E9F" w:rsidRDefault="00CA6A2E" w:rsidP="002E3754">
      <w:pPr>
        <w:spacing w:line="360" w:lineRule="auto"/>
        <w:jc w:val="both"/>
        <w:rPr>
          <w:rFonts w:ascii="Times New Roman" w:hAnsi="Times New Roman" w:cs="Times New Roman"/>
          <w:b/>
          <w:bCs/>
          <w:i/>
          <w:iCs/>
        </w:rPr>
      </w:pPr>
      <w:r w:rsidRPr="00CA6A2E">
        <w:rPr>
          <w:rFonts w:ascii="Times New Roman" w:hAnsi="Times New Roman" w:cs="Times New Roman"/>
        </w:rPr>
        <w:t>1.</w:t>
      </w:r>
      <w:r w:rsidR="00CF0186">
        <w:rPr>
          <w:rFonts w:ascii="Times New Roman" w:hAnsi="Times New Roman" w:cs="Times New Roman"/>
        </w:rPr>
        <w:t>3</w:t>
      </w:r>
      <w:r w:rsidRPr="00CA6A2E">
        <w:rPr>
          <w:rFonts w:ascii="Times New Roman" w:hAnsi="Times New Roman" w:cs="Times New Roman"/>
        </w:rPr>
        <w:t xml:space="preserve">. </w:t>
      </w:r>
      <w:r w:rsidRPr="00C05E9F">
        <w:rPr>
          <w:rFonts w:ascii="Times New Roman" w:hAnsi="Times New Roman" w:cs="Times New Roman"/>
          <w:b/>
          <w:bCs/>
          <w:i/>
          <w:iCs/>
        </w:rPr>
        <w:t>Problématique : L’ombre de Kigali et le dilemme de la preuve</w:t>
      </w:r>
    </w:p>
    <w:p w14:paraId="7772AA9B" w14:textId="56086D32" w:rsidR="00CA6A2E" w:rsidRPr="00CA6A2E" w:rsidRDefault="00CA6A2E" w:rsidP="002E3754">
      <w:pPr>
        <w:spacing w:line="360" w:lineRule="auto"/>
        <w:jc w:val="both"/>
        <w:rPr>
          <w:rFonts w:ascii="Times New Roman" w:hAnsi="Times New Roman" w:cs="Times New Roman"/>
        </w:rPr>
      </w:pPr>
      <w:r w:rsidRPr="00CA6A2E">
        <w:rPr>
          <w:rFonts w:ascii="Times New Roman" w:hAnsi="Times New Roman" w:cs="Times New Roman"/>
        </w:rPr>
        <w:t>La résurgence du M23 cristallise une controverse diplomatique et sécuritaire majeure : le rôle exact du Rwanda. La problématique centrale de cette étude réside dans l’ambiguïté stratégique entretenue autour de cette implication. D’un côté, Kigali oppose un déni systématique et officiel, arguant que le conflit est une crise interne congolaise résultant de l’échec de la gouvernance de Kinshasa et de la collaboration présumée entre les FARDC et les FDLR (génocidaires rwandais) [4].</w:t>
      </w:r>
    </w:p>
    <w:p w14:paraId="1AE58800" w14:textId="1C51E8B0" w:rsidR="00CA6A2E" w:rsidRPr="00CA6A2E" w:rsidRDefault="00CA6A2E" w:rsidP="002E3754">
      <w:pPr>
        <w:spacing w:line="360" w:lineRule="auto"/>
        <w:jc w:val="both"/>
        <w:rPr>
          <w:rFonts w:ascii="Times New Roman" w:hAnsi="Times New Roman" w:cs="Times New Roman"/>
        </w:rPr>
      </w:pPr>
      <w:r w:rsidRPr="00CA6A2E">
        <w:rPr>
          <w:rFonts w:ascii="Times New Roman" w:hAnsi="Times New Roman" w:cs="Times New Roman"/>
        </w:rPr>
        <w:t>De l’autre, un faisceau d’indices concordants et de preuves matérielles vient heurter ce narratif. Les rapports successifs du Groupe d’experts des Nations Unies sur la RDC, corroborés par des données de renseignement occidentales et des images satellites, documentent des incursions directes des Forces de Défense du Rwanda (RDF) et un soutien logistique sophistiqué au M23 [5]. Cette dichotomie entre le discours diplomatique et la réalité du terrain a provoqué une rupture de la coopération sécuritaire entre la RDC et le Rwanda, exacerbant les tensions bilatérales et menaçant d’embraser l’ensemble de la région des Grands Lacs.</w:t>
      </w:r>
    </w:p>
    <w:p w14:paraId="61ADD249" w14:textId="19C3EB5D" w:rsidR="00CA6A2E" w:rsidRPr="00C05E9F" w:rsidRDefault="00CA6A2E" w:rsidP="002E3754">
      <w:pPr>
        <w:spacing w:line="360" w:lineRule="auto"/>
        <w:jc w:val="both"/>
        <w:rPr>
          <w:rFonts w:ascii="Times New Roman" w:hAnsi="Times New Roman" w:cs="Times New Roman"/>
          <w:b/>
          <w:bCs/>
          <w:i/>
          <w:iCs/>
        </w:rPr>
      </w:pPr>
      <w:r w:rsidRPr="00CA6A2E">
        <w:rPr>
          <w:rFonts w:ascii="Times New Roman" w:hAnsi="Times New Roman" w:cs="Times New Roman"/>
        </w:rPr>
        <w:t>1.</w:t>
      </w:r>
      <w:r w:rsidR="00CF0186">
        <w:rPr>
          <w:rFonts w:ascii="Times New Roman" w:hAnsi="Times New Roman" w:cs="Times New Roman"/>
        </w:rPr>
        <w:t>4</w:t>
      </w:r>
      <w:r w:rsidRPr="00CA6A2E">
        <w:rPr>
          <w:rFonts w:ascii="Times New Roman" w:hAnsi="Times New Roman" w:cs="Times New Roman"/>
        </w:rPr>
        <w:t xml:space="preserve">. </w:t>
      </w:r>
      <w:r w:rsidRPr="00C05E9F">
        <w:rPr>
          <w:rFonts w:ascii="Times New Roman" w:hAnsi="Times New Roman" w:cs="Times New Roman"/>
          <w:b/>
          <w:bCs/>
          <w:i/>
          <w:iCs/>
        </w:rPr>
        <w:t>Objectifs de recherche</w:t>
      </w:r>
    </w:p>
    <w:p w14:paraId="31697AA0" w14:textId="154F99CC" w:rsidR="00CA6A2E" w:rsidRPr="00CA6A2E" w:rsidRDefault="00CA6A2E" w:rsidP="002E3754">
      <w:pPr>
        <w:spacing w:line="360" w:lineRule="auto"/>
        <w:jc w:val="both"/>
        <w:rPr>
          <w:rFonts w:ascii="Times New Roman" w:hAnsi="Times New Roman" w:cs="Times New Roman"/>
        </w:rPr>
      </w:pPr>
      <w:r w:rsidRPr="00CA6A2E">
        <w:rPr>
          <w:rFonts w:ascii="Times New Roman" w:hAnsi="Times New Roman" w:cs="Times New Roman"/>
        </w:rPr>
        <w:t>Dans ce contexte de polarisation extrême, cet article poursuit trois objectifs analytiques :</w:t>
      </w:r>
    </w:p>
    <w:p w14:paraId="0179A0CD" w14:textId="77777777" w:rsidR="0071033F" w:rsidRDefault="00CA6A2E" w:rsidP="002E3754">
      <w:pPr>
        <w:pStyle w:val="Paragraphedeliste"/>
        <w:numPr>
          <w:ilvl w:val="0"/>
          <w:numId w:val="2"/>
        </w:numPr>
        <w:spacing w:line="360" w:lineRule="auto"/>
        <w:jc w:val="both"/>
        <w:rPr>
          <w:rFonts w:ascii="Times New Roman" w:hAnsi="Times New Roman" w:cs="Times New Roman"/>
        </w:rPr>
      </w:pPr>
      <w:r w:rsidRPr="00BC38FD">
        <w:rPr>
          <w:rFonts w:ascii="Times New Roman" w:hAnsi="Times New Roman" w:cs="Times New Roman"/>
          <w:b/>
          <w:bCs/>
        </w:rPr>
        <w:lastRenderedPageBreak/>
        <w:t>Objectiver l’implication rwandaise</w:t>
      </w:r>
      <w:r w:rsidRPr="00BC38FD">
        <w:rPr>
          <w:rFonts w:ascii="Times New Roman" w:hAnsi="Times New Roman" w:cs="Times New Roman"/>
        </w:rPr>
        <w:t> : Il s’agit de dépasser les accusations politiques pour analyser froidement la nature, l’ampleur et les modalités techniques du soutien rwandais au M23 (soutien direct, indirect, command and control).</w:t>
      </w:r>
    </w:p>
    <w:p w14:paraId="7526BB44" w14:textId="77777777" w:rsidR="00996E5B" w:rsidRDefault="00CA6A2E" w:rsidP="002E3754">
      <w:pPr>
        <w:pStyle w:val="Paragraphedeliste"/>
        <w:numPr>
          <w:ilvl w:val="0"/>
          <w:numId w:val="2"/>
        </w:numPr>
        <w:spacing w:line="360" w:lineRule="auto"/>
        <w:jc w:val="both"/>
        <w:rPr>
          <w:rFonts w:ascii="Times New Roman" w:hAnsi="Times New Roman" w:cs="Times New Roman"/>
        </w:rPr>
      </w:pPr>
      <w:r w:rsidRPr="0071033F">
        <w:rPr>
          <w:rFonts w:ascii="Times New Roman" w:hAnsi="Times New Roman" w:cs="Times New Roman"/>
          <w:b/>
          <w:bCs/>
        </w:rPr>
        <w:t>Qualifier juridiquement les faits</w:t>
      </w:r>
      <w:r w:rsidRPr="0071033F">
        <w:rPr>
          <w:rFonts w:ascii="Times New Roman" w:hAnsi="Times New Roman" w:cs="Times New Roman"/>
        </w:rPr>
        <w:t> : Nous évaluerons si les actes posés relèvent de la simple ingérence, de l’agression ou de l’occupation au sens du droit international public, et quelles en sont les conséquences en matière de responsabilité étatique.</w:t>
      </w:r>
    </w:p>
    <w:p w14:paraId="7E23A427" w14:textId="4B424491" w:rsidR="00996E5B" w:rsidRDefault="00CA6A2E" w:rsidP="008D0DE2">
      <w:pPr>
        <w:pStyle w:val="Paragraphedeliste"/>
        <w:numPr>
          <w:ilvl w:val="0"/>
          <w:numId w:val="2"/>
        </w:numPr>
        <w:spacing w:line="360" w:lineRule="auto"/>
        <w:jc w:val="both"/>
        <w:rPr>
          <w:rFonts w:ascii="Times New Roman" w:hAnsi="Times New Roman" w:cs="Times New Roman"/>
        </w:rPr>
      </w:pPr>
      <w:r w:rsidRPr="00996E5B">
        <w:rPr>
          <w:rFonts w:ascii="Times New Roman" w:hAnsi="Times New Roman" w:cs="Times New Roman"/>
          <w:b/>
          <w:bCs/>
        </w:rPr>
        <w:t>Analyser les répercussions géopolitiques</w:t>
      </w:r>
      <w:r w:rsidRPr="00996E5B">
        <w:rPr>
          <w:rFonts w:ascii="Times New Roman" w:hAnsi="Times New Roman" w:cs="Times New Roman"/>
        </w:rPr>
        <w:t> : Comprendre comment cette dynamique modifie l’équilibre des puissances dans la Communauté d’Afrique de l’Est (EAC) et paralyse les mécanismes de paix régionaux.</w:t>
      </w:r>
    </w:p>
    <w:p w14:paraId="56A4AFFB" w14:textId="77777777" w:rsidR="008D0DE2" w:rsidRPr="008D0DE2" w:rsidRDefault="008D0DE2" w:rsidP="008D0DE2">
      <w:pPr>
        <w:pStyle w:val="Paragraphedeliste"/>
        <w:spacing w:line="360" w:lineRule="auto"/>
        <w:jc w:val="both"/>
        <w:rPr>
          <w:rFonts w:ascii="Times New Roman" w:hAnsi="Times New Roman" w:cs="Times New Roman"/>
        </w:rPr>
      </w:pPr>
    </w:p>
    <w:p w14:paraId="28DD8D8E" w14:textId="655C6815" w:rsidR="00CA6A2E" w:rsidRPr="00996E5B" w:rsidRDefault="00CA6A2E" w:rsidP="002E3754">
      <w:pPr>
        <w:spacing w:line="360" w:lineRule="auto"/>
        <w:jc w:val="both"/>
        <w:rPr>
          <w:rFonts w:ascii="Times New Roman" w:hAnsi="Times New Roman" w:cs="Times New Roman"/>
          <w:b/>
          <w:bCs/>
          <w:i/>
          <w:iCs/>
        </w:rPr>
      </w:pPr>
      <w:r w:rsidRPr="00996E5B">
        <w:rPr>
          <w:rFonts w:ascii="Times New Roman" w:hAnsi="Times New Roman" w:cs="Times New Roman"/>
          <w:b/>
          <w:bCs/>
          <w:i/>
          <w:iCs/>
        </w:rPr>
        <w:t>Question de recherche</w:t>
      </w:r>
    </w:p>
    <w:p w14:paraId="6092C37C" w14:textId="385D6E05" w:rsidR="00CA6A2E" w:rsidRPr="00CA6A2E" w:rsidRDefault="00CA6A2E" w:rsidP="002E3754">
      <w:pPr>
        <w:spacing w:line="360" w:lineRule="auto"/>
        <w:jc w:val="both"/>
        <w:rPr>
          <w:rFonts w:ascii="Times New Roman" w:hAnsi="Times New Roman" w:cs="Times New Roman"/>
        </w:rPr>
      </w:pPr>
      <w:r w:rsidRPr="00CA6A2E">
        <w:rPr>
          <w:rFonts w:ascii="Times New Roman" w:hAnsi="Times New Roman" w:cs="Times New Roman"/>
        </w:rPr>
        <w:t>Guidée par ces objectifs, notre réflexion s’articule autour de la question suivante :</w:t>
      </w:r>
    </w:p>
    <w:p w14:paraId="579FC2DE" w14:textId="025DCF51" w:rsidR="009A2E4E" w:rsidRDefault="00CA6A2E" w:rsidP="002E3754">
      <w:pPr>
        <w:spacing w:line="360" w:lineRule="auto"/>
        <w:jc w:val="both"/>
        <w:rPr>
          <w:rFonts w:ascii="Times New Roman" w:hAnsi="Times New Roman" w:cs="Times New Roman"/>
        </w:rPr>
      </w:pPr>
      <w:r w:rsidRPr="00CA6A2E">
        <w:rPr>
          <w:rFonts w:ascii="Times New Roman" w:hAnsi="Times New Roman" w:cs="Times New Roman"/>
        </w:rPr>
        <w:t>Dans quelle mesure l’implication du Rwanda dans le conflit du M23 (2021-2026) constitue-t-elle une violation caractérisée du droit international et un facteur structurel de déstabilisation régionale, au-delà des impératifs sécuritaires avancés par Kigali ?</w:t>
      </w:r>
    </w:p>
    <w:p w14:paraId="05C616C8" w14:textId="00BBD368" w:rsidR="009A2E4E" w:rsidRDefault="009A2E4E" w:rsidP="002E3754">
      <w:pPr>
        <w:spacing w:line="360" w:lineRule="auto"/>
        <w:jc w:val="both"/>
        <w:rPr>
          <w:rFonts w:ascii="Times New Roman" w:hAnsi="Times New Roman" w:cs="Times New Roman"/>
        </w:rPr>
      </w:pPr>
      <w:r>
        <w:rPr>
          <w:rFonts w:ascii="Times New Roman" w:hAnsi="Times New Roman" w:cs="Times New Roman"/>
        </w:rPr>
        <w:t xml:space="preserve">1.5. </w:t>
      </w:r>
      <w:r w:rsidR="00791DC3">
        <w:rPr>
          <w:rFonts w:ascii="Times New Roman" w:hAnsi="Times New Roman" w:cs="Times New Roman"/>
          <w:b/>
          <w:bCs/>
          <w:i/>
          <w:iCs/>
        </w:rPr>
        <w:t>Cadre théorique et définition des concepts</w:t>
      </w:r>
    </w:p>
    <w:p w14:paraId="588B4862" w14:textId="77777777" w:rsidR="00576D25" w:rsidRPr="00576D25" w:rsidRDefault="00576D25" w:rsidP="00576D25">
      <w:pPr>
        <w:spacing w:line="360" w:lineRule="auto"/>
        <w:jc w:val="both"/>
        <w:rPr>
          <w:rFonts w:ascii="Times New Roman" w:hAnsi="Times New Roman" w:cs="Times New Roman"/>
        </w:rPr>
      </w:pPr>
      <w:r w:rsidRPr="00576D25">
        <w:rPr>
          <w:rFonts w:ascii="Times New Roman" w:hAnsi="Times New Roman" w:cs="Times New Roman"/>
        </w:rPr>
        <w:t>Pour appréhender la complexité de cette crise, cette étude mobilise une double articulation théorique.</w:t>
      </w:r>
    </w:p>
    <w:p w14:paraId="7264C9A4" w14:textId="51C3C907" w:rsidR="00576D25" w:rsidRDefault="00576D25" w:rsidP="00576D25">
      <w:pPr>
        <w:spacing w:line="360" w:lineRule="auto"/>
        <w:jc w:val="both"/>
        <w:rPr>
          <w:rFonts w:ascii="Times New Roman" w:hAnsi="Times New Roman" w:cs="Times New Roman"/>
        </w:rPr>
      </w:pPr>
      <w:r w:rsidRPr="00576D25">
        <w:rPr>
          <w:rFonts w:ascii="Times New Roman" w:hAnsi="Times New Roman" w:cs="Times New Roman"/>
        </w:rPr>
        <w:t xml:space="preserve">Premièrement, nous privilégions le réalisme offensif de John </w:t>
      </w:r>
      <w:proofErr w:type="spellStart"/>
      <w:r w:rsidRPr="00576D25">
        <w:rPr>
          <w:rFonts w:ascii="Times New Roman" w:hAnsi="Times New Roman" w:cs="Times New Roman"/>
        </w:rPr>
        <w:t>Mearsheimer</w:t>
      </w:r>
      <w:proofErr w:type="spellEnd"/>
      <w:r w:rsidRPr="00576D25">
        <w:rPr>
          <w:rFonts w:ascii="Times New Roman" w:hAnsi="Times New Roman" w:cs="Times New Roman"/>
        </w:rPr>
        <w:t xml:space="preserve"> [8]. Ce choix se justifie par la nature anarchique du complexe de sécurité des Grands Lacs, où les États cherchent à maximiser leur puissance relative pour garantir leur survie. Contrairement à l’approche constructiviste, qui se focaliserait sur la construction sociale des identités (Hutu/Tutsi) – dimension réelle mais insuffisante pour expliquer la sophistication militaire du M23 – ou à la sécurité humaine, centrée sur l’individu, le réalisme offensif offre la grille de lecture la plus pertinente pour décrypter les calculs stratégiques étatiques (contrôle territorial, zones tampons).</w:t>
      </w:r>
    </w:p>
    <w:p w14:paraId="49625423" w14:textId="77777777" w:rsidR="00F32448" w:rsidRDefault="00F32448" w:rsidP="00576D25">
      <w:pPr>
        <w:spacing w:line="360" w:lineRule="auto"/>
        <w:jc w:val="both"/>
        <w:rPr>
          <w:rFonts w:ascii="Times New Roman" w:hAnsi="Times New Roman" w:cs="Times New Roman"/>
        </w:rPr>
      </w:pPr>
      <w:r>
        <w:rPr>
          <w:rFonts w:ascii="Times New Roman" w:hAnsi="Times New Roman" w:cs="Times New Roman"/>
        </w:rPr>
        <w:t>Deuxièmement, la théorie de la responsabilité de l’État en droit international [19] fournit les outils normatifs pour qualifier les interactions.</w:t>
      </w:r>
    </w:p>
    <w:p w14:paraId="5C42956F" w14:textId="1B8702C1" w:rsidR="00F32448" w:rsidRDefault="00F32448" w:rsidP="00576D25">
      <w:pPr>
        <w:spacing w:line="360" w:lineRule="auto"/>
        <w:jc w:val="both"/>
        <w:rPr>
          <w:rFonts w:ascii="Times New Roman" w:hAnsi="Times New Roman" w:cs="Times New Roman"/>
        </w:rPr>
      </w:pPr>
      <w:r>
        <w:rPr>
          <w:rFonts w:ascii="Times New Roman" w:hAnsi="Times New Roman" w:cs="Times New Roman"/>
        </w:rPr>
        <w:t>Dans cette optique, deux concepts clés sont ici opérationnalisés :</w:t>
      </w:r>
    </w:p>
    <w:p w14:paraId="0228E0D3" w14:textId="0D421BB1" w:rsidR="004C2272" w:rsidRPr="004C2272" w:rsidRDefault="004C2272" w:rsidP="004C2272">
      <w:pPr>
        <w:pStyle w:val="Paragraphedeliste"/>
        <w:numPr>
          <w:ilvl w:val="0"/>
          <w:numId w:val="20"/>
        </w:numPr>
        <w:spacing w:line="360" w:lineRule="auto"/>
        <w:jc w:val="both"/>
        <w:rPr>
          <w:rFonts w:ascii="Times New Roman" w:hAnsi="Times New Roman" w:cs="Times New Roman"/>
        </w:rPr>
      </w:pPr>
      <w:r w:rsidRPr="004C2272">
        <w:rPr>
          <w:rFonts w:ascii="Times New Roman" w:hAnsi="Times New Roman" w:cs="Times New Roman"/>
          <w:b/>
          <w:bCs/>
        </w:rPr>
        <w:lastRenderedPageBreak/>
        <w:t>L’Agression</w:t>
      </w:r>
      <w:r w:rsidRPr="004C2272">
        <w:rPr>
          <w:rFonts w:ascii="Times New Roman" w:hAnsi="Times New Roman" w:cs="Times New Roman"/>
        </w:rPr>
        <w:t> : Entendue strictement au sens de l’article 3(g) de la Résolution 3314 (XXIX) de l’ONU, qualifiant l’envoi par un État de bandes armées ou de forces régulières contre un autre État [18].</w:t>
      </w:r>
    </w:p>
    <w:p w14:paraId="7545BA11" w14:textId="79ABBBBB" w:rsidR="004C2272" w:rsidRPr="004C2272" w:rsidRDefault="004C2272" w:rsidP="004C2272">
      <w:pPr>
        <w:pStyle w:val="Paragraphedeliste"/>
        <w:numPr>
          <w:ilvl w:val="0"/>
          <w:numId w:val="20"/>
        </w:numPr>
        <w:spacing w:line="360" w:lineRule="auto"/>
        <w:jc w:val="both"/>
        <w:rPr>
          <w:rFonts w:ascii="Times New Roman" w:hAnsi="Times New Roman" w:cs="Times New Roman"/>
        </w:rPr>
      </w:pPr>
      <w:r w:rsidRPr="004C2272">
        <w:rPr>
          <w:rFonts w:ascii="Times New Roman" w:hAnsi="Times New Roman" w:cs="Times New Roman"/>
          <w:b/>
          <w:bCs/>
        </w:rPr>
        <w:t>La Guerre Hybride</w:t>
      </w:r>
      <w:r w:rsidRPr="004C2272">
        <w:rPr>
          <w:rFonts w:ascii="Times New Roman" w:hAnsi="Times New Roman" w:cs="Times New Roman"/>
        </w:rPr>
        <w:t> : Définie selon Frank Hoffman comme la combinaison simultanée et adaptative de moyens militaires conventionnels, de tactiques irrégulières, de terrorisme et de coercition criminelle dans le but d’atteindre des objectifs politiques tout en maintenant un certain flou sur l’attribution [10].</w:t>
      </w:r>
    </w:p>
    <w:p w14:paraId="0F001FF5" w14:textId="645501CF" w:rsidR="004C2272" w:rsidRDefault="004C2272" w:rsidP="00576D25">
      <w:pPr>
        <w:spacing w:line="360" w:lineRule="auto"/>
        <w:jc w:val="both"/>
        <w:rPr>
          <w:rFonts w:ascii="Times New Roman" w:hAnsi="Times New Roman" w:cs="Times New Roman"/>
        </w:rPr>
      </w:pPr>
      <w:r>
        <w:rPr>
          <w:rFonts w:ascii="Times New Roman" w:hAnsi="Times New Roman" w:cs="Times New Roman"/>
        </w:rPr>
        <w:t>Sur cette base, nous formulons trois hypothèses de travail :</w:t>
      </w:r>
    </w:p>
    <w:p w14:paraId="387EC7B0" w14:textId="5E8939AE" w:rsidR="00886A98" w:rsidRDefault="007F4DED" w:rsidP="007F4DED">
      <w:pPr>
        <w:pStyle w:val="Paragraphedeliste"/>
        <w:numPr>
          <w:ilvl w:val="0"/>
          <w:numId w:val="21"/>
        </w:numPr>
        <w:spacing w:line="360" w:lineRule="auto"/>
        <w:jc w:val="both"/>
        <w:rPr>
          <w:rFonts w:ascii="Times New Roman" w:hAnsi="Times New Roman" w:cs="Times New Roman"/>
        </w:rPr>
      </w:pPr>
      <w:r w:rsidRPr="00886A98">
        <w:rPr>
          <w:rFonts w:ascii="Times New Roman" w:hAnsi="Times New Roman" w:cs="Times New Roman"/>
          <w:b/>
          <w:bCs/>
        </w:rPr>
        <w:t>Hypothèse 1</w:t>
      </w:r>
      <w:r>
        <w:rPr>
          <w:rFonts w:ascii="Times New Roman" w:hAnsi="Times New Roman" w:cs="Times New Roman"/>
        </w:rPr>
        <w:t xml:space="preserve"> </w:t>
      </w:r>
      <w:r w:rsidR="00886A98">
        <w:rPr>
          <w:rFonts w:ascii="Times New Roman" w:hAnsi="Times New Roman" w:cs="Times New Roman"/>
        </w:rPr>
        <w:t>(Logique de Proxy) : Le M23 n’agit pas comme une rébellion autonome, mais s’inscrit dans une logique de guerre par procuration permettant au Rwanda de projeter sa puissance à moindre coût politique.</w:t>
      </w:r>
    </w:p>
    <w:p w14:paraId="4ED5CF1D" w14:textId="20974EE2" w:rsidR="006B54AA" w:rsidRDefault="00886A98" w:rsidP="007F4DED">
      <w:pPr>
        <w:pStyle w:val="Paragraphedeliste"/>
        <w:numPr>
          <w:ilvl w:val="0"/>
          <w:numId w:val="21"/>
        </w:numPr>
        <w:spacing w:line="360" w:lineRule="auto"/>
        <w:jc w:val="both"/>
        <w:rPr>
          <w:rFonts w:ascii="Times New Roman" w:hAnsi="Times New Roman" w:cs="Times New Roman"/>
        </w:rPr>
      </w:pPr>
      <w:r w:rsidRPr="006B54AA">
        <w:rPr>
          <w:rFonts w:ascii="Times New Roman" w:hAnsi="Times New Roman" w:cs="Times New Roman"/>
          <w:b/>
          <w:bCs/>
        </w:rPr>
        <w:t>Hypothèse 2</w:t>
      </w:r>
      <w:r>
        <w:rPr>
          <w:rFonts w:ascii="Times New Roman" w:hAnsi="Times New Roman" w:cs="Times New Roman"/>
        </w:rPr>
        <w:t xml:space="preserve"> (</w:t>
      </w:r>
      <w:r w:rsidR="006B54AA">
        <w:rPr>
          <w:rFonts w:ascii="Times New Roman" w:hAnsi="Times New Roman" w:cs="Times New Roman"/>
        </w:rPr>
        <w:t>Seuil de l’Agression) : La nature du soutien fourni (troupes au sol, artillerie lourde) franchit le seuil juridique de l’ingérence pour constituer une agression caractérisée, engageant la responsabilité directe de l’État.</w:t>
      </w:r>
    </w:p>
    <w:p w14:paraId="7B77655F" w14:textId="184A930F" w:rsidR="006B54AA" w:rsidRPr="007F4DED" w:rsidRDefault="006B54AA" w:rsidP="007F4DED">
      <w:pPr>
        <w:pStyle w:val="Paragraphedeliste"/>
        <w:numPr>
          <w:ilvl w:val="0"/>
          <w:numId w:val="21"/>
        </w:numPr>
        <w:spacing w:line="360" w:lineRule="auto"/>
        <w:jc w:val="both"/>
        <w:rPr>
          <w:rFonts w:ascii="Times New Roman" w:hAnsi="Times New Roman" w:cs="Times New Roman"/>
        </w:rPr>
      </w:pPr>
      <w:r>
        <w:rPr>
          <w:rFonts w:ascii="Times New Roman" w:hAnsi="Times New Roman" w:cs="Times New Roman"/>
        </w:rPr>
        <w:t>Hypothèse 3 (</w:t>
      </w:r>
      <w:r w:rsidR="00A44867">
        <w:rPr>
          <w:rFonts w:ascii="Times New Roman" w:hAnsi="Times New Roman" w:cs="Times New Roman"/>
        </w:rPr>
        <w:t>Impasse Régionale) : L’échec des mécanismes de résolution (EAC, CIRGL) découle de la divergence structurelle des intérêts géopolitiques des États membres, rendant la diplomatie inopérante face à un conflit internationalisé.</w:t>
      </w:r>
    </w:p>
    <w:p w14:paraId="2BDEF425" w14:textId="2E78E58C" w:rsidR="0036414F" w:rsidRPr="0036414F" w:rsidRDefault="0036414F" w:rsidP="0036414F">
      <w:pPr>
        <w:pStyle w:val="Paragraphedeliste"/>
        <w:spacing w:line="360" w:lineRule="auto"/>
        <w:jc w:val="both"/>
        <w:rPr>
          <w:rFonts w:ascii="Times New Roman" w:hAnsi="Times New Roman" w:cs="Times New Roman"/>
        </w:rPr>
      </w:pPr>
    </w:p>
    <w:p w14:paraId="59E13EDF" w14:textId="2A0F9993" w:rsidR="005B4F36" w:rsidRPr="00376F53" w:rsidRDefault="00CA6A2E" w:rsidP="00257F5B">
      <w:pPr>
        <w:pStyle w:val="Paragraphedeliste"/>
        <w:numPr>
          <w:ilvl w:val="0"/>
          <w:numId w:val="18"/>
        </w:numPr>
        <w:spacing w:line="360" w:lineRule="auto"/>
        <w:jc w:val="both"/>
        <w:rPr>
          <w:rFonts w:ascii="Times New Roman" w:hAnsi="Times New Roman" w:cs="Times New Roman"/>
        </w:rPr>
      </w:pPr>
      <w:r w:rsidRPr="00376F53">
        <w:rPr>
          <w:rFonts w:ascii="Times New Roman" w:hAnsi="Times New Roman" w:cs="Times New Roman"/>
          <w:b/>
          <w:bCs/>
        </w:rPr>
        <w:t>MÉTHODOLOGIE</w:t>
      </w:r>
    </w:p>
    <w:p w14:paraId="79D3266C" w14:textId="04781B52" w:rsidR="005B4F36" w:rsidRDefault="005B4F36" w:rsidP="00257F5B">
      <w:pPr>
        <w:spacing w:line="360" w:lineRule="auto"/>
        <w:jc w:val="both"/>
        <w:rPr>
          <w:rFonts w:ascii="Times New Roman" w:hAnsi="Times New Roman" w:cs="Times New Roman"/>
        </w:rPr>
      </w:pPr>
      <w:r>
        <w:rPr>
          <w:rFonts w:ascii="Times New Roman" w:hAnsi="Times New Roman" w:cs="Times New Roman"/>
        </w:rPr>
        <w:t>Cette étude adopte une épistémologie constructiviste combinée à une approche empirique rigoureuse, visant à objectiver des faits sur un terrain d’accès restreint par l’analyse croisée des sources.</w:t>
      </w:r>
    </w:p>
    <w:p w14:paraId="2BB9B82F" w14:textId="0EBCCD18" w:rsidR="005B4F36" w:rsidRPr="008E71AA" w:rsidRDefault="005B4F36" w:rsidP="00257F5B">
      <w:pPr>
        <w:spacing w:line="360" w:lineRule="auto"/>
        <w:jc w:val="both"/>
        <w:rPr>
          <w:rFonts w:ascii="Times New Roman" w:hAnsi="Times New Roman" w:cs="Times New Roman"/>
          <w:b/>
          <w:bCs/>
          <w:i/>
          <w:iCs/>
        </w:rPr>
      </w:pPr>
      <w:r>
        <w:rPr>
          <w:rFonts w:ascii="Times New Roman" w:hAnsi="Times New Roman" w:cs="Times New Roman"/>
        </w:rPr>
        <w:t xml:space="preserve">2.1. </w:t>
      </w:r>
      <w:r w:rsidRPr="008E71AA">
        <w:rPr>
          <w:rFonts w:ascii="Times New Roman" w:hAnsi="Times New Roman" w:cs="Times New Roman"/>
          <w:b/>
          <w:bCs/>
          <w:i/>
          <w:iCs/>
        </w:rPr>
        <w:t>Protocole de recherche : Triangulation et OSINT</w:t>
      </w:r>
    </w:p>
    <w:p w14:paraId="1ACC3E25" w14:textId="7C14BCF3" w:rsidR="005B4F36" w:rsidRDefault="005B4F36" w:rsidP="00257F5B">
      <w:pPr>
        <w:spacing w:line="360" w:lineRule="auto"/>
        <w:jc w:val="both"/>
        <w:rPr>
          <w:rFonts w:ascii="Times New Roman" w:hAnsi="Times New Roman" w:cs="Times New Roman"/>
        </w:rPr>
      </w:pPr>
      <w:r>
        <w:rPr>
          <w:rFonts w:ascii="Times New Roman" w:hAnsi="Times New Roman" w:cs="Times New Roman"/>
        </w:rPr>
        <w:t>Notre démarche repose sur une triangulation des données (data triangulation) croisant trois types de sources distinctes pour minimiser les biais : (i) la documentation institutionnelle, (ii) les preuves techniques et (iii) la littérature académique. Face à l’impossibilité sécuritaire de mener des enquêtes de terrain directes dans les zones sous contrôle du M23 (Bunagana, Rutshuru), nous avons mobilisé les techniques du Renseignement d’Origine Sources Ouvertes (OSINT). Cette approche permet de vérifier la véracité des allégations de soutien militaire en corroborant les déclarations politiques avec des traces numériques vérifiables [10].</w:t>
      </w:r>
    </w:p>
    <w:p w14:paraId="3E85C1C1" w14:textId="42A1AF10" w:rsidR="005B4F36" w:rsidRPr="008E71AA" w:rsidRDefault="005B4F36" w:rsidP="00257F5B">
      <w:pPr>
        <w:spacing w:line="360" w:lineRule="auto"/>
        <w:jc w:val="both"/>
        <w:rPr>
          <w:rFonts w:ascii="Times New Roman" w:hAnsi="Times New Roman" w:cs="Times New Roman"/>
          <w:b/>
          <w:bCs/>
          <w:i/>
          <w:iCs/>
        </w:rPr>
      </w:pPr>
      <w:r>
        <w:rPr>
          <w:rFonts w:ascii="Times New Roman" w:hAnsi="Times New Roman" w:cs="Times New Roman"/>
        </w:rPr>
        <w:t xml:space="preserve">2.2. </w:t>
      </w:r>
      <w:r w:rsidRPr="008E71AA">
        <w:rPr>
          <w:rFonts w:ascii="Times New Roman" w:hAnsi="Times New Roman" w:cs="Times New Roman"/>
          <w:b/>
          <w:bCs/>
          <w:i/>
          <w:iCs/>
        </w:rPr>
        <w:t>Constitution du corpus et nature des données</w:t>
      </w:r>
    </w:p>
    <w:p w14:paraId="03F7C6FA" w14:textId="24E21A3E" w:rsidR="005B4F36" w:rsidRDefault="005B4F36" w:rsidP="00257F5B">
      <w:pPr>
        <w:spacing w:line="360" w:lineRule="auto"/>
        <w:jc w:val="both"/>
        <w:rPr>
          <w:rFonts w:ascii="Times New Roman" w:hAnsi="Times New Roman" w:cs="Times New Roman"/>
        </w:rPr>
      </w:pPr>
      <w:r>
        <w:rPr>
          <w:rFonts w:ascii="Times New Roman" w:hAnsi="Times New Roman" w:cs="Times New Roman"/>
        </w:rPr>
        <w:lastRenderedPageBreak/>
        <w:t>L’analyse repose sur un corpus de données collectées entre novembre 2021 et janvier 2026 :</w:t>
      </w:r>
    </w:p>
    <w:p w14:paraId="66DAF648" w14:textId="77777777" w:rsidR="00295CDF" w:rsidRDefault="005B4F36" w:rsidP="00257F5B">
      <w:pPr>
        <w:pStyle w:val="Paragraphedeliste"/>
        <w:numPr>
          <w:ilvl w:val="0"/>
          <w:numId w:val="11"/>
        </w:numPr>
        <w:spacing w:line="360" w:lineRule="auto"/>
        <w:jc w:val="both"/>
        <w:rPr>
          <w:rFonts w:ascii="Times New Roman" w:hAnsi="Times New Roman" w:cs="Times New Roman"/>
        </w:rPr>
      </w:pPr>
      <w:r w:rsidRPr="00295CDF">
        <w:rPr>
          <w:rFonts w:ascii="Times New Roman" w:hAnsi="Times New Roman" w:cs="Times New Roman"/>
          <w:b/>
          <w:bCs/>
        </w:rPr>
        <w:t>Données primaires intermédiées</w:t>
      </w:r>
      <w:r w:rsidRPr="00253908">
        <w:rPr>
          <w:rFonts w:ascii="Times New Roman" w:hAnsi="Times New Roman" w:cs="Times New Roman"/>
        </w:rPr>
        <w:t> : Les rapports du Groupe d’experts de l’ONU sur la RDC (S/2022/479 à S/2023/431 et suivants) sont traités ici comme des sources primaires de référence. En effet, ils synthétisent des centaines d’entretiens confidentiels avec des ex-combattants, des officiers FARDC et des civils, offrant un matériau empirique que le chercheur individuel ne peut reproduire [4], [11].</w:t>
      </w:r>
    </w:p>
    <w:p w14:paraId="560C642E" w14:textId="77777777" w:rsidR="00295CDF" w:rsidRDefault="005B4F36" w:rsidP="00257F5B">
      <w:pPr>
        <w:pStyle w:val="Paragraphedeliste"/>
        <w:numPr>
          <w:ilvl w:val="0"/>
          <w:numId w:val="11"/>
        </w:numPr>
        <w:spacing w:line="360" w:lineRule="auto"/>
        <w:jc w:val="both"/>
        <w:rPr>
          <w:rFonts w:ascii="Times New Roman" w:hAnsi="Times New Roman" w:cs="Times New Roman"/>
        </w:rPr>
      </w:pPr>
      <w:r w:rsidRPr="00295CDF">
        <w:rPr>
          <w:rFonts w:ascii="Times New Roman" w:hAnsi="Times New Roman" w:cs="Times New Roman"/>
          <w:b/>
          <w:bCs/>
        </w:rPr>
        <w:t>Données géospatiales et imagerie</w:t>
      </w:r>
      <w:r w:rsidRPr="00295CDF">
        <w:rPr>
          <w:rFonts w:ascii="Times New Roman" w:hAnsi="Times New Roman" w:cs="Times New Roman"/>
        </w:rPr>
        <w:t xml:space="preserve"> : Les mouvements de troupes et l’implantation d’artillerie ont été corroborés par l’analyse d’images satellites à haute résolution fournies par UNOSAT et </w:t>
      </w:r>
      <w:proofErr w:type="spellStart"/>
      <w:r w:rsidRPr="00295CDF">
        <w:rPr>
          <w:rFonts w:ascii="Times New Roman" w:hAnsi="Times New Roman" w:cs="Times New Roman"/>
        </w:rPr>
        <w:t>Sentinel</w:t>
      </w:r>
      <w:proofErr w:type="spellEnd"/>
      <w:r w:rsidRPr="00295CDF">
        <w:rPr>
          <w:rFonts w:ascii="Times New Roman" w:hAnsi="Times New Roman" w:cs="Times New Roman"/>
        </w:rPr>
        <w:t xml:space="preserve"> Hub, permettant de documenter objectivement les violations territoriales [9].</w:t>
      </w:r>
    </w:p>
    <w:p w14:paraId="2D848BBC" w14:textId="5B437F26" w:rsidR="005B4F36" w:rsidRDefault="005B4F36" w:rsidP="00257F5B">
      <w:pPr>
        <w:pStyle w:val="Paragraphedeliste"/>
        <w:numPr>
          <w:ilvl w:val="0"/>
          <w:numId w:val="11"/>
        </w:numPr>
        <w:spacing w:line="360" w:lineRule="auto"/>
        <w:jc w:val="both"/>
        <w:rPr>
          <w:rFonts w:ascii="Times New Roman" w:hAnsi="Times New Roman" w:cs="Times New Roman"/>
        </w:rPr>
      </w:pPr>
      <w:r w:rsidRPr="00295CDF">
        <w:rPr>
          <w:rFonts w:ascii="Times New Roman" w:hAnsi="Times New Roman" w:cs="Times New Roman"/>
          <w:b/>
          <w:bCs/>
        </w:rPr>
        <w:t>Documentation visuelle vérifiée</w:t>
      </w:r>
      <w:r w:rsidRPr="00295CDF">
        <w:rPr>
          <w:rFonts w:ascii="Times New Roman" w:hAnsi="Times New Roman" w:cs="Times New Roman"/>
        </w:rPr>
        <w:t> : Une base de données de vidéos et photographies géolocalisées (</w:t>
      </w:r>
      <w:proofErr w:type="spellStart"/>
      <w:r w:rsidRPr="00295CDF">
        <w:rPr>
          <w:rFonts w:ascii="Times New Roman" w:hAnsi="Times New Roman" w:cs="Times New Roman"/>
        </w:rPr>
        <w:t>geolocated</w:t>
      </w:r>
      <w:proofErr w:type="spellEnd"/>
      <w:r w:rsidRPr="00295CDF">
        <w:rPr>
          <w:rFonts w:ascii="Times New Roman" w:hAnsi="Times New Roman" w:cs="Times New Roman"/>
        </w:rPr>
        <w:t>) et horodatées, issues des réseaux sociaux et vérifiées par des organismes indépendants comme Human Rights Watch, a servi à identifier le matériel militaire spécifique (fusils d’assaut de type 81-1, uniformes RDF) [13].</w:t>
      </w:r>
    </w:p>
    <w:p w14:paraId="6E62ABD4" w14:textId="77777777" w:rsidR="00295CDF" w:rsidRPr="00295CDF" w:rsidRDefault="00295CDF" w:rsidP="00295CDF">
      <w:pPr>
        <w:pStyle w:val="Paragraphedeliste"/>
        <w:spacing w:line="360" w:lineRule="auto"/>
        <w:jc w:val="both"/>
        <w:rPr>
          <w:rFonts w:ascii="Times New Roman" w:hAnsi="Times New Roman" w:cs="Times New Roman"/>
        </w:rPr>
      </w:pPr>
    </w:p>
    <w:p w14:paraId="5B42D042" w14:textId="5A66D010" w:rsidR="005B4F36" w:rsidRPr="00295CDF" w:rsidRDefault="005B4F36" w:rsidP="00257F5B">
      <w:pPr>
        <w:spacing w:line="360" w:lineRule="auto"/>
        <w:jc w:val="both"/>
        <w:rPr>
          <w:rFonts w:ascii="Times New Roman" w:hAnsi="Times New Roman" w:cs="Times New Roman"/>
          <w:b/>
          <w:bCs/>
          <w:i/>
          <w:iCs/>
        </w:rPr>
      </w:pPr>
      <w:r>
        <w:rPr>
          <w:rFonts w:ascii="Times New Roman" w:hAnsi="Times New Roman" w:cs="Times New Roman"/>
        </w:rPr>
        <w:t xml:space="preserve">2.3. </w:t>
      </w:r>
      <w:r w:rsidRPr="00295CDF">
        <w:rPr>
          <w:rFonts w:ascii="Times New Roman" w:hAnsi="Times New Roman" w:cs="Times New Roman"/>
          <w:b/>
          <w:bCs/>
          <w:i/>
          <w:iCs/>
        </w:rPr>
        <w:t>Traitement des données géospatiales</w:t>
      </w:r>
    </w:p>
    <w:p w14:paraId="7F7925F6" w14:textId="3548CCCE" w:rsidR="005B4F36" w:rsidRDefault="005B4F36" w:rsidP="00257F5B">
      <w:pPr>
        <w:spacing w:line="360" w:lineRule="auto"/>
        <w:jc w:val="both"/>
        <w:rPr>
          <w:rFonts w:ascii="Times New Roman" w:hAnsi="Times New Roman" w:cs="Times New Roman"/>
        </w:rPr>
      </w:pPr>
      <w:r>
        <w:rPr>
          <w:rFonts w:ascii="Times New Roman" w:hAnsi="Times New Roman" w:cs="Times New Roman"/>
        </w:rPr>
        <w:t>L’analyse technique s’est opérée selon une grille séquentielle précise, telle que décrite dans les annexes techniques des rapports onusiens :</w:t>
      </w:r>
    </w:p>
    <w:p w14:paraId="71C57881" w14:textId="77777777" w:rsidR="00C42F77" w:rsidRDefault="005B4F36" w:rsidP="00257F5B">
      <w:pPr>
        <w:pStyle w:val="Paragraphedeliste"/>
        <w:numPr>
          <w:ilvl w:val="0"/>
          <w:numId w:val="12"/>
        </w:numPr>
        <w:spacing w:line="360" w:lineRule="auto"/>
        <w:jc w:val="both"/>
        <w:rPr>
          <w:rFonts w:ascii="Times New Roman" w:hAnsi="Times New Roman" w:cs="Times New Roman"/>
        </w:rPr>
      </w:pPr>
      <w:r w:rsidRPr="00C42F77">
        <w:rPr>
          <w:rFonts w:ascii="Times New Roman" w:hAnsi="Times New Roman" w:cs="Times New Roman"/>
          <w:b/>
          <w:bCs/>
        </w:rPr>
        <w:t>Identification des anomalies</w:t>
      </w:r>
      <w:r w:rsidRPr="00C42F77">
        <w:rPr>
          <w:rFonts w:ascii="Times New Roman" w:hAnsi="Times New Roman" w:cs="Times New Roman"/>
        </w:rPr>
        <w:t> : Utilisation de l’imagerie Sentinel-2 pour repérer les changements physiques sur le terrain, notamment la création de sentiers logistiques non cadastrés traversant la frontière rwando-congolaise vers les positions du M23 [11].</w:t>
      </w:r>
    </w:p>
    <w:p w14:paraId="44149806" w14:textId="77777777" w:rsidR="00D74ADD" w:rsidRDefault="005B4F36" w:rsidP="00257F5B">
      <w:pPr>
        <w:pStyle w:val="Paragraphedeliste"/>
        <w:numPr>
          <w:ilvl w:val="0"/>
          <w:numId w:val="12"/>
        </w:numPr>
        <w:spacing w:line="360" w:lineRule="auto"/>
        <w:jc w:val="both"/>
        <w:rPr>
          <w:rFonts w:ascii="Times New Roman" w:hAnsi="Times New Roman" w:cs="Times New Roman"/>
        </w:rPr>
      </w:pPr>
      <w:r w:rsidRPr="00C42F77">
        <w:rPr>
          <w:rFonts w:ascii="Times New Roman" w:hAnsi="Times New Roman" w:cs="Times New Roman"/>
          <w:b/>
          <w:bCs/>
        </w:rPr>
        <w:t>Corroboration spectrale </w:t>
      </w:r>
      <w:r w:rsidRPr="00C42F77">
        <w:rPr>
          <w:rFonts w:ascii="Times New Roman" w:hAnsi="Times New Roman" w:cs="Times New Roman"/>
        </w:rPr>
        <w:t>: Analyse des signatures thermiques (via les données FIRMS de la NASA) pour distinguer les feux de combats des feux de brousse agricoles, permettant de tracer l’évolution dynamique de la ligne de front.</w:t>
      </w:r>
    </w:p>
    <w:p w14:paraId="5D1D4418" w14:textId="65E16C81" w:rsidR="005B4F36" w:rsidRDefault="005B4F36" w:rsidP="00257F5B">
      <w:pPr>
        <w:pStyle w:val="Paragraphedeliste"/>
        <w:numPr>
          <w:ilvl w:val="0"/>
          <w:numId w:val="12"/>
        </w:numPr>
        <w:spacing w:line="360" w:lineRule="auto"/>
        <w:jc w:val="both"/>
        <w:rPr>
          <w:rFonts w:ascii="Times New Roman" w:hAnsi="Times New Roman" w:cs="Times New Roman"/>
        </w:rPr>
      </w:pPr>
      <w:r w:rsidRPr="00D74ADD">
        <w:rPr>
          <w:rFonts w:ascii="Times New Roman" w:hAnsi="Times New Roman" w:cs="Times New Roman"/>
          <w:b/>
          <w:bCs/>
        </w:rPr>
        <w:t>Attribution balistique </w:t>
      </w:r>
      <w:r w:rsidRPr="00D74ADD">
        <w:rPr>
          <w:rFonts w:ascii="Times New Roman" w:hAnsi="Times New Roman" w:cs="Times New Roman"/>
        </w:rPr>
        <w:t>: Comparaison des cratères d’impact visibles par satellite avec la portée théorique des pièces d’artillerie (ex : mortiers 120mm guidés) pour déterminer l’origine des tirs, discriminant ainsi les capacités propres du M23 de celles nécessitant un appui étatique externe [4].</w:t>
      </w:r>
    </w:p>
    <w:p w14:paraId="71DD6E11" w14:textId="77777777" w:rsidR="00983E4B" w:rsidRDefault="00983E4B" w:rsidP="00983E4B">
      <w:pPr>
        <w:pStyle w:val="Paragraphedeliste"/>
        <w:spacing w:line="360" w:lineRule="auto"/>
        <w:jc w:val="both"/>
        <w:rPr>
          <w:rFonts w:ascii="Times New Roman" w:hAnsi="Times New Roman" w:cs="Times New Roman"/>
        </w:rPr>
      </w:pPr>
    </w:p>
    <w:p w14:paraId="53C032EC" w14:textId="014098AD" w:rsidR="005B4F36" w:rsidRDefault="005B4F36" w:rsidP="00257F5B">
      <w:pPr>
        <w:spacing w:line="360" w:lineRule="auto"/>
        <w:jc w:val="both"/>
        <w:rPr>
          <w:rFonts w:ascii="Times New Roman" w:hAnsi="Times New Roman" w:cs="Times New Roman"/>
        </w:rPr>
      </w:pPr>
      <w:r>
        <w:rPr>
          <w:rFonts w:ascii="Times New Roman" w:hAnsi="Times New Roman" w:cs="Times New Roman"/>
        </w:rPr>
        <w:t xml:space="preserve">2.4. </w:t>
      </w:r>
      <w:r w:rsidRPr="00D74ADD">
        <w:rPr>
          <w:rFonts w:ascii="Times New Roman" w:hAnsi="Times New Roman" w:cs="Times New Roman"/>
          <w:b/>
          <w:bCs/>
          <w:i/>
          <w:iCs/>
        </w:rPr>
        <w:t>Limites et éthique de la recherche</w:t>
      </w:r>
    </w:p>
    <w:p w14:paraId="1AE3DC15" w14:textId="262DDCF9" w:rsidR="005B4F36" w:rsidRDefault="005B4F36" w:rsidP="00257F5B">
      <w:pPr>
        <w:spacing w:line="360" w:lineRule="auto"/>
        <w:jc w:val="both"/>
        <w:rPr>
          <w:rFonts w:ascii="Times New Roman" w:hAnsi="Times New Roman" w:cs="Times New Roman"/>
        </w:rPr>
      </w:pPr>
      <w:r>
        <w:rPr>
          <w:rFonts w:ascii="Times New Roman" w:hAnsi="Times New Roman" w:cs="Times New Roman"/>
        </w:rPr>
        <w:lastRenderedPageBreak/>
        <w:t>Cette méthodologie présente des limites inhérentes à la « recherche à distance » (</w:t>
      </w:r>
      <w:proofErr w:type="spellStart"/>
      <w:r>
        <w:rPr>
          <w:rFonts w:ascii="Times New Roman" w:hAnsi="Times New Roman" w:cs="Times New Roman"/>
        </w:rPr>
        <w:t>remote</w:t>
      </w:r>
      <w:proofErr w:type="spellEnd"/>
      <w:r>
        <w:rPr>
          <w:rFonts w:ascii="Times New Roman" w:hAnsi="Times New Roman" w:cs="Times New Roman"/>
        </w:rPr>
        <w:t xml:space="preserve"> research).</w:t>
      </w:r>
    </w:p>
    <w:p w14:paraId="5714AA47" w14:textId="77777777" w:rsidR="003C374C" w:rsidRDefault="005B4F36" w:rsidP="00257F5B">
      <w:pPr>
        <w:pStyle w:val="Paragraphedeliste"/>
        <w:numPr>
          <w:ilvl w:val="0"/>
          <w:numId w:val="13"/>
        </w:numPr>
        <w:spacing w:line="360" w:lineRule="auto"/>
        <w:jc w:val="both"/>
        <w:rPr>
          <w:rFonts w:ascii="Times New Roman" w:hAnsi="Times New Roman" w:cs="Times New Roman"/>
        </w:rPr>
      </w:pPr>
      <w:r w:rsidRPr="003C374C">
        <w:rPr>
          <w:rFonts w:ascii="Times New Roman" w:hAnsi="Times New Roman" w:cs="Times New Roman"/>
          <w:b/>
          <w:bCs/>
        </w:rPr>
        <w:t>Absence d’immersion in situ</w:t>
      </w:r>
      <w:r w:rsidRPr="003C374C">
        <w:rPr>
          <w:rFonts w:ascii="Times New Roman" w:hAnsi="Times New Roman" w:cs="Times New Roman"/>
        </w:rPr>
        <w:t> : L’absence d’entretiens directs conduits par l’auteur empêche une compréhension fine des dynamiques sociologiques internes du M23. Nous pallions ce manque par une analyse critique des témoignages rapportés.</w:t>
      </w:r>
    </w:p>
    <w:p w14:paraId="7A7F07E0" w14:textId="77777777" w:rsidR="00833253" w:rsidRDefault="005B4F36" w:rsidP="00105A2A">
      <w:pPr>
        <w:pStyle w:val="Paragraphedeliste"/>
        <w:numPr>
          <w:ilvl w:val="0"/>
          <w:numId w:val="13"/>
        </w:numPr>
        <w:spacing w:line="360" w:lineRule="auto"/>
        <w:jc w:val="both"/>
        <w:rPr>
          <w:rFonts w:ascii="Times New Roman" w:hAnsi="Times New Roman" w:cs="Times New Roman"/>
        </w:rPr>
      </w:pPr>
      <w:r w:rsidRPr="00176142">
        <w:rPr>
          <w:rFonts w:ascii="Times New Roman" w:hAnsi="Times New Roman" w:cs="Times New Roman"/>
          <w:b/>
          <w:bCs/>
        </w:rPr>
        <w:t>Biais de sélection et confirmation </w:t>
      </w:r>
      <w:r w:rsidRPr="003C374C">
        <w:rPr>
          <w:rFonts w:ascii="Times New Roman" w:hAnsi="Times New Roman" w:cs="Times New Roman"/>
        </w:rPr>
        <w:t>: Conscient du risque de lire les données uniquement à travers le prisme de « l’agression », nous avons systématiquement recherché les hypothèses alternatives (ex : marché noir, corruption des FARDC) avant de valider l’hypothèse du soutien étatique, conformément aux exigences de preuve dans les conflits hybrides [10], [17].</w:t>
      </w:r>
    </w:p>
    <w:p w14:paraId="11E80DD2" w14:textId="408AAEFF" w:rsidR="00983E4B" w:rsidRDefault="00E32AA1" w:rsidP="00983E4B">
      <w:pPr>
        <w:spacing w:line="360" w:lineRule="auto"/>
        <w:ind w:left="360"/>
        <w:jc w:val="both"/>
        <w:rPr>
          <w:rFonts w:ascii="Times New Roman" w:hAnsi="Times New Roman" w:cs="Times New Roman"/>
        </w:rPr>
      </w:pPr>
      <w:r w:rsidRPr="00833253">
        <w:rPr>
          <w:rFonts w:ascii="Times New Roman" w:hAnsi="Times New Roman" w:cs="Times New Roman"/>
        </w:rPr>
        <w:t xml:space="preserve">Enfin, il convient de maintenir une prudence épistémologique nécessaire. Bien que le faisceau d’indices convergents (géospatial, balistique, testimonial) rende la thèse du soutien rwandais extrêmement robuste, l’attribution de la responsabilité dans les conflits hybrides demeure, par nature, probabiliste plutôt qu’absolue. La nature clandestine des opérations spéciales (« deniable </w:t>
      </w:r>
      <w:proofErr w:type="spellStart"/>
      <w:r w:rsidRPr="00833253">
        <w:rPr>
          <w:rFonts w:ascii="Times New Roman" w:hAnsi="Times New Roman" w:cs="Times New Roman"/>
        </w:rPr>
        <w:t>ops</w:t>
      </w:r>
      <w:proofErr w:type="spellEnd"/>
      <w:r w:rsidRPr="00833253">
        <w:rPr>
          <w:rFonts w:ascii="Times New Roman" w:hAnsi="Times New Roman" w:cs="Times New Roman"/>
        </w:rPr>
        <w:t xml:space="preserve"> ») vise précisément à maintenir cette marge d’incertitude que notre méthodologie s’efforce de réduire sans prétendre l’éliminer totalement.</w:t>
      </w:r>
    </w:p>
    <w:p w14:paraId="2C5E3797" w14:textId="77777777" w:rsidR="00983E4B" w:rsidRPr="00983E4B" w:rsidRDefault="00983E4B" w:rsidP="00983E4B">
      <w:pPr>
        <w:spacing w:line="360" w:lineRule="auto"/>
        <w:ind w:left="360"/>
        <w:jc w:val="both"/>
        <w:rPr>
          <w:rFonts w:ascii="Times New Roman" w:hAnsi="Times New Roman" w:cs="Times New Roman"/>
        </w:rPr>
      </w:pPr>
    </w:p>
    <w:p w14:paraId="0809D3FE" w14:textId="25D378DE" w:rsidR="00983E4B" w:rsidRPr="00983E4B" w:rsidRDefault="00983E4B" w:rsidP="00983E4B">
      <w:pPr>
        <w:pStyle w:val="Paragraphedeliste"/>
        <w:numPr>
          <w:ilvl w:val="0"/>
          <w:numId w:val="18"/>
        </w:numPr>
        <w:spacing w:line="360" w:lineRule="auto"/>
        <w:jc w:val="both"/>
        <w:rPr>
          <w:rFonts w:ascii="Times New Roman" w:hAnsi="Times New Roman" w:cs="Times New Roman"/>
          <w:b/>
          <w:bCs/>
        </w:rPr>
      </w:pPr>
      <w:r w:rsidRPr="00983E4B">
        <w:rPr>
          <w:rFonts w:ascii="Times New Roman" w:hAnsi="Times New Roman" w:cs="Times New Roman"/>
          <w:b/>
          <w:bCs/>
        </w:rPr>
        <w:t>RÉSULTAT</w:t>
      </w:r>
      <w:r w:rsidR="0079101E">
        <w:rPr>
          <w:rFonts w:ascii="Times New Roman" w:hAnsi="Times New Roman" w:cs="Times New Roman"/>
          <w:b/>
          <w:bCs/>
        </w:rPr>
        <w:t>S</w:t>
      </w:r>
    </w:p>
    <w:p w14:paraId="242BDC18" w14:textId="15F95E27" w:rsidR="00E5032F" w:rsidRPr="004D2940" w:rsidRDefault="00E5032F" w:rsidP="004D2940">
      <w:pPr>
        <w:spacing w:line="360" w:lineRule="auto"/>
        <w:jc w:val="both"/>
        <w:rPr>
          <w:rFonts w:ascii="Times New Roman" w:hAnsi="Times New Roman" w:cs="Times New Roman"/>
        </w:rPr>
      </w:pPr>
      <w:r w:rsidRPr="004D2940">
        <w:rPr>
          <w:rFonts w:ascii="Times New Roman" w:hAnsi="Times New Roman" w:cs="Times New Roman"/>
        </w:rPr>
        <w:t xml:space="preserve">L’analyse croisée des données documentaires et des observations de terrain sur la période 2021-2026 permet d’établir </w:t>
      </w:r>
      <w:r w:rsidR="00E937FE" w:rsidRPr="004D2940">
        <w:rPr>
          <w:rFonts w:ascii="Times New Roman" w:hAnsi="Times New Roman" w:cs="Times New Roman"/>
        </w:rPr>
        <w:t xml:space="preserve">quatre </w:t>
      </w:r>
      <w:r w:rsidRPr="004D2940">
        <w:rPr>
          <w:rFonts w:ascii="Times New Roman" w:hAnsi="Times New Roman" w:cs="Times New Roman"/>
        </w:rPr>
        <w:t>catégories de résultats majeurs :</w:t>
      </w:r>
      <w:r w:rsidR="00E937FE" w:rsidRPr="004D2940">
        <w:rPr>
          <w:rFonts w:ascii="Times New Roman" w:hAnsi="Times New Roman" w:cs="Times New Roman"/>
        </w:rPr>
        <w:t xml:space="preserve"> </w:t>
      </w:r>
      <w:r w:rsidR="003916C3" w:rsidRPr="004D2940">
        <w:rPr>
          <w:rFonts w:ascii="Times New Roman" w:hAnsi="Times New Roman" w:cs="Times New Roman"/>
        </w:rPr>
        <w:t xml:space="preserve">le narratif officiel de défense avancé par Kigali, </w:t>
      </w:r>
      <w:r w:rsidRPr="004D2940">
        <w:rPr>
          <w:rFonts w:ascii="Times New Roman" w:hAnsi="Times New Roman" w:cs="Times New Roman"/>
        </w:rPr>
        <w:t xml:space="preserve"> la matérialité indiscutable du soutien rwandais, la fragmentation des réponses diplomatiques, et la reconfiguration violente de l’équilibre régional.</w:t>
      </w:r>
    </w:p>
    <w:p w14:paraId="7FC54369" w14:textId="7AEEB45D" w:rsidR="00F95409" w:rsidRPr="00A07FA3" w:rsidRDefault="00F95409" w:rsidP="00105A2A">
      <w:pPr>
        <w:pStyle w:val="Paragraphedeliste"/>
        <w:numPr>
          <w:ilvl w:val="1"/>
          <w:numId w:val="2"/>
        </w:numPr>
        <w:spacing w:line="360" w:lineRule="auto"/>
        <w:jc w:val="both"/>
        <w:rPr>
          <w:rFonts w:ascii="Times New Roman" w:hAnsi="Times New Roman" w:cs="Times New Roman"/>
          <w:b/>
          <w:bCs/>
          <w:i/>
          <w:iCs/>
        </w:rPr>
      </w:pPr>
      <w:r>
        <w:rPr>
          <w:rFonts w:ascii="Times New Roman" w:hAnsi="Times New Roman" w:cs="Times New Roman"/>
        </w:rPr>
        <w:t xml:space="preserve"> </w:t>
      </w:r>
      <w:r w:rsidRPr="00F95409">
        <w:rPr>
          <w:rFonts w:ascii="Times New Roman" w:hAnsi="Times New Roman" w:cs="Times New Roman"/>
          <w:b/>
          <w:bCs/>
          <w:i/>
          <w:iCs/>
        </w:rPr>
        <w:t>La</w:t>
      </w:r>
      <w:r w:rsidRPr="00F95409">
        <w:rPr>
          <w:rFonts w:ascii="Times New Roman" w:hAnsi="Times New Roman" w:cs="Times New Roman"/>
        </w:rPr>
        <w:t xml:space="preserve"> </w:t>
      </w:r>
      <w:r w:rsidRPr="00F95409">
        <w:rPr>
          <w:rFonts w:ascii="Times New Roman" w:hAnsi="Times New Roman" w:cs="Times New Roman"/>
          <w:b/>
          <w:bCs/>
          <w:i/>
          <w:iCs/>
        </w:rPr>
        <w:t>position du Rwanda : Déni plausible et impératif sécuritaire</w:t>
      </w:r>
      <w:r w:rsidR="00023337">
        <w:rPr>
          <w:rFonts w:ascii="Times New Roman" w:hAnsi="Times New Roman" w:cs="Times New Roman"/>
          <w:b/>
          <w:bCs/>
          <w:i/>
          <w:iCs/>
        </w:rPr>
        <w:t xml:space="preserve"> (Contre-perspective)</w:t>
      </w:r>
    </w:p>
    <w:p w14:paraId="7BD891EE" w14:textId="0E6EEE63" w:rsidR="00C069D5" w:rsidRDefault="00A07FA3" w:rsidP="00257F5B">
      <w:pPr>
        <w:spacing w:line="360" w:lineRule="auto"/>
        <w:jc w:val="both"/>
        <w:rPr>
          <w:rFonts w:ascii="Times New Roman" w:hAnsi="Times New Roman" w:cs="Times New Roman"/>
        </w:rPr>
      </w:pPr>
      <w:r>
        <w:rPr>
          <w:rFonts w:ascii="Times New Roman" w:hAnsi="Times New Roman" w:cs="Times New Roman"/>
        </w:rPr>
        <w:t>Pour garantir l’objectivité de l’analyse, il est impératif d’examiner les arguments officiels de la République du Rwanda. Kigali maintient une position constante de déni catégorique, qualifiant les accusations de soutien au M23 de « diversion » politique de la part de Kinshasa. Le discours diplomatique rwandais s’articule autour de trois contre-arguments majeurs :</w:t>
      </w:r>
    </w:p>
    <w:p w14:paraId="3E08D633" w14:textId="77777777" w:rsidR="00943510" w:rsidRDefault="00AF7414" w:rsidP="00257F5B">
      <w:pPr>
        <w:pStyle w:val="Paragraphedeliste"/>
        <w:numPr>
          <w:ilvl w:val="0"/>
          <w:numId w:val="14"/>
        </w:numPr>
        <w:spacing w:line="360" w:lineRule="auto"/>
        <w:jc w:val="both"/>
        <w:rPr>
          <w:rFonts w:ascii="Times New Roman" w:hAnsi="Times New Roman" w:cs="Times New Roman"/>
        </w:rPr>
      </w:pPr>
      <w:r w:rsidRPr="00AF7414">
        <w:rPr>
          <w:rFonts w:ascii="Times New Roman" w:hAnsi="Times New Roman" w:cs="Times New Roman"/>
          <w:b/>
          <w:bCs/>
        </w:rPr>
        <w:t>La nature interne du conflit </w:t>
      </w:r>
      <w:r w:rsidRPr="00AF7414">
        <w:rPr>
          <w:rFonts w:ascii="Times New Roman" w:hAnsi="Times New Roman" w:cs="Times New Roman"/>
        </w:rPr>
        <w:t>: Le Rwanda affirme que le M23 est un problème congolais, résultant du non-respect des accords de paix de 2013 par le gouvernement de la RDC [4].</w:t>
      </w:r>
    </w:p>
    <w:p w14:paraId="00818D29" w14:textId="77777777" w:rsidR="00943510" w:rsidRDefault="00AF7414" w:rsidP="00257F5B">
      <w:pPr>
        <w:pStyle w:val="Paragraphedeliste"/>
        <w:numPr>
          <w:ilvl w:val="0"/>
          <w:numId w:val="14"/>
        </w:numPr>
        <w:spacing w:line="360" w:lineRule="auto"/>
        <w:jc w:val="both"/>
        <w:rPr>
          <w:rFonts w:ascii="Times New Roman" w:hAnsi="Times New Roman" w:cs="Times New Roman"/>
        </w:rPr>
      </w:pPr>
      <w:r w:rsidRPr="00943510">
        <w:rPr>
          <w:rFonts w:ascii="Times New Roman" w:hAnsi="Times New Roman" w:cs="Times New Roman"/>
          <w:b/>
          <w:bCs/>
        </w:rPr>
        <w:lastRenderedPageBreak/>
        <w:t>La menace existentielle des FDLR</w:t>
      </w:r>
      <w:r w:rsidRPr="00943510">
        <w:rPr>
          <w:rFonts w:ascii="Times New Roman" w:hAnsi="Times New Roman" w:cs="Times New Roman"/>
        </w:rPr>
        <w:t> : Kigali justifie sa posture de vigilance par la persistance des Forces Démocratiques de Libération du Rwanda (FDLR), accusant les FARDC de collaborer activement avec ce groupe génocidaire. Cette alliance, documentée par certains observateurs indépendants, est présentée par le Rwanda comme une menace directe à sa sécurité nationale, légitimant des mesures de protection frontalière [5], [16].</w:t>
      </w:r>
    </w:p>
    <w:p w14:paraId="37C39E0E" w14:textId="7B1320A9" w:rsidR="00C069D5" w:rsidRDefault="00AF7414" w:rsidP="00257F5B">
      <w:pPr>
        <w:pStyle w:val="Paragraphedeliste"/>
        <w:numPr>
          <w:ilvl w:val="0"/>
          <w:numId w:val="14"/>
        </w:numPr>
        <w:spacing w:line="360" w:lineRule="auto"/>
        <w:jc w:val="both"/>
        <w:rPr>
          <w:rFonts w:ascii="Times New Roman" w:hAnsi="Times New Roman" w:cs="Times New Roman"/>
        </w:rPr>
      </w:pPr>
      <w:r w:rsidRPr="00943510">
        <w:rPr>
          <w:rFonts w:ascii="Times New Roman" w:hAnsi="Times New Roman" w:cs="Times New Roman"/>
          <w:b/>
          <w:bCs/>
        </w:rPr>
        <w:t>L’échec de la protection des minorités</w:t>
      </w:r>
      <w:r w:rsidRPr="00943510">
        <w:rPr>
          <w:rFonts w:ascii="Times New Roman" w:hAnsi="Times New Roman" w:cs="Times New Roman"/>
        </w:rPr>
        <w:t> : Le Rwanda invoque la responsabilité de protéger les communautés tutsi congolaises (Banyamulenge) ciblées par des discours de haine, positionnant son intérêt comme humanitaire et non expansionniste [4].</w:t>
      </w:r>
    </w:p>
    <w:p w14:paraId="22DBD585" w14:textId="77777777" w:rsidR="00FE2AC1" w:rsidRDefault="00FE2AC1" w:rsidP="00FE2AC1">
      <w:pPr>
        <w:pStyle w:val="Paragraphedeliste"/>
        <w:spacing w:line="360" w:lineRule="auto"/>
        <w:jc w:val="both"/>
        <w:rPr>
          <w:rFonts w:ascii="Times New Roman" w:hAnsi="Times New Roman" w:cs="Times New Roman"/>
        </w:rPr>
      </w:pPr>
    </w:p>
    <w:p w14:paraId="120AD5A0" w14:textId="7B892CEC" w:rsidR="00FE2AC1" w:rsidRPr="00FE2AC1" w:rsidRDefault="00FE2AC1" w:rsidP="00FE2AC1">
      <w:pPr>
        <w:pStyle w:val="Paragraphedeliste"/>
        <w:numPr>
          <w:ilvl w:val="1"/>
          <w:numId w:val="14"/>
        </w:numPr>
        <w:spacing w:line="360" w:lineRule="auto"/>
        <w:jc w:val="both"/>
        <w:rPr>
          <w:rFonts w:ascii="Times New Roman" w:hAnsi="Times New Roman" w:cs="Times New Roman"/>
          <w:b/>
          <w:bCs/>
          <w:i/>
          <w:iCs/>
        </w:rPr>
      </w:pPr>
      <w:r>
        <w:rPr>
          <w:rFonts w:ascii="Times New Roman" w:hAnsi="Times New Roman" w:cs="Times New Roman"/>
        </w:rPr>
        <w:t xml:space="preserve"> </w:t>
      </w:r>
      <w:r w:rsidR="00432409">
        <w:rPr>
          <w:rFonts w:ascii="Times New Roman" w:hAnsi="Times New Roman" w:cs="Times New Roman"/>
          <w:b/>
          <w:bCs/>
          <w:i/>
          <w:iCs/>
        </w:rPr>
        <w:t>Confrontation empirique : Une projection de force multidimensionnelle</w:t>
      </w:r>
    </w:p>
    <w:p w14:paraId="533FA0F6" w14:textId="64E076CF" w:rsidR="000F3A03" w:rsidRDefault="000F3A03" w:rsidP="00257F5B">
      <w:pPr>
        <w:spacing w:line="360" w:lineRule="auto"/>
        <w:jc w:val="both"/>
        <w:rPr>
          <w:rFonts w:ascii="Times New Roman" w:hAnsi="Times New Roman" w:cs="Times New Roman"/>
        </w:rPr>
      </w:pPr>
      <w:r>
        <w:rPr>
          <w:rFonts w:ascii="Times New Roman" w:hAnsi="Times New Roman" w:cs="Times New Roman"/>
        </w:rPr>
        <w:t>Si les préoccupations sécuritaires du Rwanda reposent sur un fondement historique réel, la confrontation avec les données techniques recueillies (2022-2026) invalide la thèse de la simple vigilance frontalière. Les preuves matérielles révèlent une projection de force structurée autour de trois axes, incompatible avec les capacités d’un groupe armé non étatique classique.</w:t>
      </w:r>
    </w:p>
    <w:p w14:paraId="02F44B1F" w14:textId="77CAE579" w:rsidR="007C65D7" w:rsidRDefault="00826E45" w:rsidP="00257F5B">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2CBB6C02" wp14:editId="3C353E41">
            <wp:extent cx="5758946" cy="3964329"/>
            <wp:effectExtent l="0" t="0" r="0" b="0"/>
            <wp:docPr id="19082335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33508" name="Image 19082335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965550"/>
                    </a:xfrm>
                    <a:prstGeom prst="rect">
                      <a:avLst/>
                    </a:prstGeom>
                  </pic:spPr>
                </pic:pic>
              </a:graphicData>
            </a:graphic>
          </wp:inline>
        </w:drawing>
      </w:r>
    </w:p>
    <w:p w14:paraId="5549645E" w14:textId="22196C71" w:rsidR="00CC31E2" w:rsidRPr="003F7637" w:rsidRDefault="00486F5F" w:rsidP="00257F5B">
      <w:pPr>
        <w:spacing w:line="360" w:lineRule="auto"/>
        <w:jc w:val="both"/>
        <w:rPr>
          <w:rFonts w:ascii="Times New Roman" w:hAnsi="Times New Roman" w:cs="Times New Roman"/>
          <w:i/>
          <w:iCs/>
          <w:sz w:val="20"/>
          <w:szCs w:val="20"/>
        </w:rPr>
      </w:pPr>
      <w:r w:rsidRPr="00486F5F">
        <w:rPr>
          <w:rFonts w:ascii="Times New Roman" w:hAnsi="Times New Roman" w:cs="Times New Roman"/>
          <w:b/>
          <w:bCs/>
          <w:i/>
          <w:iCs/>
          <w:sz w:val="20"/>
          <w:szCs w:val="20"/>
        </w:rPr>
        <w:t>Figure</w:t>
      </w:r>
      <w:r w:rsidR="007E0942">
        <w:rPr>
          <w:rFonts w:ascii="Times New Roman" w:hAnsi="Times New Roman" w:cs="Times New Roman"/>
          <w:i/>
          <w:iCs/>
          <w:sz w:val="20"/>
          <w:szCs w:val="20"/>
        </w:rPr>
        <w:t xml:space="preserve"> </w:t>
      </w:r>
      <w:r w:rsidR="007E0942" w:rsidRPr="007E0942">
        <w:rPr>
          <w:rFonts w:ascii="Times New Roman" w:hAnsi="Times New Roman" w:cs="Times New Roman"/>
          <w:b/>
          <w:bCs/>
          <w:i/>
          <w:iCs/>
          <w:sz w:val="20"/>
          <w:szCs w:val="20"/>
        </w:rPr>
        <w:t>1</w:t>
      </w:r>
      <w:r w:rsidR="007E0942">
        <w:rPr>
          <w:rFonts w:ascii="Times New Roman" w:hAnsi="Times New Roman" w:cs="Times New Roman"/>
          <w:i/>
          <w:iCs/>
          <w:sz w:val="20"/>
          <w:szCs w:val="20"/>
        </w:rPr>
        <w:t> : Carte de la corrélation spatiale entre l’expansion territoriale du M23 (zones grises et rouges) et la localisation des sites miniers stratégiques (Coltan, Or) au Nord-Kivu (2022-2025). Source : Adapté par l’auteur sur base des données de MrBLOCKiron et des rapports onusiens.</w:t>
      </w:r>
    </w:p>
    <w:p w14:paraId="1199088C" w14:textId="05C6D9D3" w:rsidR="007C65D7" w:rsidRDefault="000809AA" w:rsidP="00257F5B">
      <w:pPr>
        <w:spacing w:line="360" w:lineRule="auto"/>
        <w:jc w:val="both"/>
        <w:rPr>
          <w:rFonts w:ascii="Times New Roman" w:hAnsi="Times New Roman" w:cs="Times New Roman"/>
        </w:rPr>
      </w:pPr>
      <w:r>
        <w:rPr>
          <w:rFonts w:ascii="Times New Roman" w:hAnsi="Times New Roman" w:cs="Times New Roman"/>
        </w:rPr>
        <w:lastRenderedPageBreak/>
        <w:t>Comme l’illustre la Figure 1, la géographie de l’occupation militaire ne relève pas du hasard tactique. La superposition quasi-parfaite des zones sous contrôle du M23 avec les gisements de coltan et de cassitérite dans le Masisi démontre une volonté de captation des ressources. L’encerclement de Goma vise moins la prise de la ville que le contrôle des axes routiers par où transitent ces minerais vers le Rwanda, validant ainsi l’hypothèse d’une guerre de prédation économique.</w:t>
      </w:r>
    </w:p>
    <w:p w14:paraId="4B0ECD64" w14:textId="5330835B" w:rsidR="000F3A03" w:rsidRDefault="000F3A03" w:rsidP="00257F5B">
      <w:pPr>
        <w:spacing w:line="360" w:lineRule="auto"/>
        <w:jc w:val="both"/>
        <w:rPr>
          <w:rFonts w:ascii="Times New Roman" w:hAnsi="Times New Roman" w:cs="Times New Roman"/>
        </w:rPr>
      </w:pPr>
      <w:r>
        <w:rPr>
          <w:rFonts w:ascii="Times New Roman" w:hAnsi="Times New Roman" w:cs="Times New Roman"/>
        </w:rPr>
        <w:t>Premièrement, la signature balistique exogène. L’arsenal du M23 a connu une mutation qualitative (« </w:t>
      </w:r>
      <w:proofErr w:type="spellStart"/>
      <w:r>
        <w:rPr>
          <w:rFonts w:ascii="Times New Roman" w:hAnsi="Times New Roman" w:cs="Times New Roman"/>
        </w:rPr>
        <w:t>upgrading</w:t>
      </w:r>
      <w:proofErr w:type="spellEnd"/>
      <w:r>
        <w:rPr>
          <w:rFonts w:ascii="Times New Roman" w:hAnsi="Times New Roman" w:cs="Times New Roman"/>
        </w:rPr>
        <w:t xml:space="preserve"> ») dès 2022. Contrairement aux cycles précédents fondés sur la récupération, le groupe dispose désormais de </w:t>
      </w:r>
      <w:r w:rsidRPr="00676163">
        <w:rPr>
          <w:rFonts w:ascii="Times New Roman" w:hAnsi="Times New Roman" w:cs="Times New Roman"/>
        </w:rPr>
        <w:t>matériels</w:t>
      </w:r>
      <w:r>
        <w:rPr>
          <w:rFonts w:ascii="Times New Roman" w:hAnsi="Times New Roman" w:cs="Times New Roman"/>
        </w:rPr>
        <w:t xml:space="preserve"> absents des stocks des FARDC, notamment des mortiers guidés de 120 mm, des fusils d’assaut de type 81-1 et, plus significativement, de systèmes de défense anti-aérienne portables (MANPADS) ainsi que de brouilleurs de drones [9]. Cette logistique sophistiquée implique nécessairement une chaîne d’approvisionnement étatique externe.</w:t>
      </w:r>
    </w:p>
    <w:p w14:paraId="43C7506A" w14:textId="0B3C7C3F" w:rsidR="000F3A03" w:rsidRDefault="00BA74C1" w:rsidP="00257F5B">
      <w:pPr>
        <w:spacing w:line="360" w:lineRule="auto"/>
        <w:jc w:val="both"/>
        <w:rPr>
          <w:rFonts w:ascii="Times New Roman" w:hAnsi="Times New Roman" w:cs="Times New Roman"/>
        </w:rPr>
      </w:pPr>
      <w:r>
        <w:rPr>
          <w:rFonts w:ascii="Times New Roman" w:hAnsi="Times New Roman" w:cs="Times New Roman"/>
        </w:rPr>
        <w:t xml:space="preserve">Deuxièmement, l’intervention directe des troupes (« Boots on the ground »). L’imagerie aérienne et les captures de drones de la MONUSCO ont documenté des incursions systématiques de colonnes de la Rwanda </w:t>
      </w:r>
      <w:proofErr w:type="spellStart"/>
      <w:r>
        <w:rPr>
          <w:rFonts w:ascii="Times New Roman" w:hAnsi="Times New Roman" w:cs="Times New Roman"/>
        </w:rPr>
        <w:t>Defence</w:t>
      </w:r>
      <w:proofErr w:type="spellEnd"/>
      <w:r>
        <w:rPr>
          <w:rFonts w:ascii="Times New Roman" w:hAnsi="Times New Roman" w:cs="Times New Roman"/>
        </w:rPr>
        <w:t xml:space="preserve"> Force (RDF)</w:t>
      </w:r>
      <w:r w:rsidR="00111BE1">
        <w:rPr>
          <w:rFonts w:ascii="Times New Roman" w:hAnsi="Times New Roman" w:cs="Times New Roman"/>
        </w:rPr>
        <w:t>.</w:t>
      </w:r>
      <w:r>
        <w:rPr>
          <w:rFonts w:ascii="Times New Roman" w:hAnsi="Times New Roman" w:cs="Times New Roman"/>
        </w:rPr>
        <w:t xml:space="preserve"> </w:t>
      </w:r>
      <w:r w:rsidR="009B4366">
        <w:rPr>
          <w:rFonts w:ascii="Times New Roman" w:hAnsi="Times New Roman" w:cs="Times New Roman"/>
        </w:rPr>
        <w:t>Les estimations croisées des services de renseignement de la MONUSCO et du Groupe d’experts évaluent cet engagement à un volume oscillant entre 3 000 et 4 000 hommes, soit l’équivalent de trois bataillons renforcés, déployés lors des offensives majeures de 2024 [11].</w:t>
      </w:r>
      <w:r w:rsidR="00373D75">
        <w:rPr>
          <w:rFonts w:ascii="Times New Roman" w:hAnsi="Times New Roman" w:cs="Times New Roman"/>
        </w:rPr>
        <w:t xml:space="preserve"> </w:t>
      </w:r>
      <w:r w:rsidR="001E79E6">
        <w:rPr>
          <w:rFonts w:ascii="Times New Roman" w:hAnsi="Times New Roman" w:cs="Times New Roman"/>
        </w:rPr>
        <w:t>Ces unités, identifiées comme appartenant aux forces spéciales et à la division d’intervention, opèrent parfois sous leur propre uniforme</w:t>
      </w:r>
      <w:r>
        <w:rPr>
          <w:rFonts w:ascii="Times New Roman" w:hAnsi="Times New Roman" w:cs="Times New Roman"/>
        </w:rPr>
        <w:t xml:space="preserve"> ou intégrées aux rangs rebelles, brouillant la distinction entre conflit interne et agression interétatique.</w:t>
      </w:r>
    </w:p>
    <w:p w14:paraId="1B12FFD0" w14:textId="42EC9D76" w:rsidR="007478FD" w:rsidRDefault="00BE45EC" w:rsidP="00257F5B">
      <w:pPr>
        <w:spacing w:line="360" w:lineRule="auto"/>
        <w:jc w:val="both"/>
        <w:rPr>
          <w:rFonts w:ascii="Times New Roman" w:hAnsi="Times New Roman" w:cs="Times New Roman"/>
        </w:rPr>
      </w:pPr>
      <w:r>
        <w:rPr>
          <w:rFonts w:ascii="Times New Roman" w:hAnsi="Times New Roman" w:cs="Times New Roman"/>
        </w:rPr>
        <w:t>Troisièmement, la sanctuarisation et le recrutement. Le territoire rwandais fonctionne comme une base arrière opérationnelle (« </w:t>
      </w:r>
      <w:proofErr w:type="spellStart"/>
      <w:r>
        <w:rPr>
          <w:rFonts w:ascii="Times New Roman" w:hAnsi="Times New Roman" w:cs="Times New Roman"/>
        </w:rPr>
        <w:t>safe</w:t>
      </w:r>
      <w:proofErr w:type="spellEnd"/>
      <w:r>
        <w:rPr>
          <w:rFonts w:ascii="Times New Roman" w:hAnsi="Times New Roman" w:cs="Times New Roman"/>
        </w:rPr>
        <w:t xml:space="preserve"> </w:t>
      </w:r>
      <w:proofErr w:type="spellStart"/>
      <w:r>
        <w:rPr>
          <w:rFonts w:ascii="Times New Roman" w:hAnsi="Times New Roman" w:cs="Times New Roman"/>
        </w:rPr>
        <w:t>haven</w:t>
      </w:r>
      <w:proofErr w:type="spellEnd"/>
      <w:r>
        <w:rPr>
          <w:rFonts w:ascii="Times New Roman" w:hAnsi="Times New Roman" w:cs="Times New Roman"/>
        </w:rPr>
        <w:t xml:space="preserve"> ») pour le repli tactique et l’évacuation médicale. Parallèlement, des témoignages de combattants démobilisés confirment que des campagnes de recrutement ont été menées au Rwanda, y compris dans le camp de réfugiés de </w:t>
      </w:r>
      <w:proofErr w:type="spellStart"/>
      <w:r>
        <w:rPr>
          <w:rFonts w:ascii="Times New Roman" w:hAnsi="Times New Roman" w:cs="Times New Roman"/>
        </w:rPr>
        <w:t>Mahama</w:t>
      </w:r>
      <w:proofErr w:type="spellEnd"/>
      <w:r>
        <w:rPr>
          <w:rFonts w:ascii="Times New Roman" w:hAnsi="Times New Roman" w:cs="Times New Roman"/>
        </w:rPr>
        <w:t>, sous supervision militaire, contredisant l’argument d’une insurrection purement endogène [13].</w:t>
      </w:r>
    </w:p>
    <w:p w14:paraId="27F96B2A" w14:textId="12ECA97C" w:rsidR="00E5032F" w:rsidRPr="00622563" w:rsidRDefault="00E5032F" w:rsidP="00257F5B">
      <w:pPr>
        <w:spacing w:line="360" w:lineRule="auto"/>
        <w:jc w:val="both"/>
        <w:rPr>
          <w:rFonts w:ascii="Times New Roman" w:hAnsi="Times New Roman" w:cs="Times New Roman"/>
          <w:b/>
          <w:bCs/>
          <w:i/>
          <w:iCs/>
        </w:rPr>
      </w:pPr>
      <w:r>
        <w:rPr>
          <w:rFonts w:ascii="Times New Roman" w:hAnsi="Times New Roman" w:cs="Times New Roman"/>
        </w:rPr>
        <w:t>3.</w:t>
      </w:r>
      <w:r w:rsidR="00BE45EC">
        <w:rPr>
          <w:rFonts w:ascii="Times New Roman" w:hAnsi="Times New Roman" w:cs="Times New Roman"/>
        </w:rPr>
        <w:t>3</w:t>
      </w:r>
      <w:r>
        <w:rPr>
          <w:rFonts w:ascii="Times New Roman" w:hAnsi="Times New Roman" w:cs="Times New Roman"/>
        </w:rPr>
        <w:t xml:space="preserve">. </w:t>
      </w:r>
      <w:r w:rsidRPr="00123438">
        <w:rPr>
          <w:rFonts w:ascii="Times New Roman" w:hAnsi="Times New Roman" w:cs="Times New Roman"/>
          <w:b/>
          <w:bCs/>
          <w:i/>
          <w:iCs/>
        </w:rPr>
        <w:t>L’asymétrie des réactions diplomatiques et juridiques</w:t>
      </w:r>
    </w:p>
    <w:p w14:paraId="22267DF9" w14:textId="1557DAB1" w:rsidR="00E5032F" w:rsidRDefault="00E5032F" w:rsidP="00257F5B">
      <w:pPr>
        <w:spacing w:line="360" w:lineRule="auto"/>
        <w:jc w:val="both"/>
        <w:rPr>
          <w:rFonts w:ascii="Times New Roman" w:hAnsi="Times New Roman" w:cs="Times New Roman"/>
        </w:rPr>
      </w:pPr>
      <w:r>
        <w:rPr>
          <w:rFonts w:ascii="Times New Roman" w:hAnsi="Times New Roman" w:cs="Times New Roman"/>
        </w:rPr>
        <w:t>Les résultats montrent une dichotomie frappante entre la gravité des violations documentées et la réponse de la communauté internationale.</w:t>
      </w:r>
    </w:p>
    <w:p w14:paraId="6BAFC08C" w14:textId="1C9CF222" w:rsidR="00E5032F" w:rsidRDefault="00E5032F" w:rsidP="00257F5B">
      <w:pPr>
        <w:spacing w:line="360" w:lineRule="auto"/>
        <w:jc w:val="both"/>
        <w:rPr>
          <w:rFonts w:ascii="Times New Roman" w:hAnsi="Times New Roman" w:cs="Times New Roman"/>
        </w:rPr>
      </w:pPr>
      <w:r>
        <w:rPr>
          <w:rFonts w:ascii="Times New Roman" w:hAnsi="Times New Roman" w:cs="Times New Roman"/>
        </w:rPr>
        <w:lastRenderedPageBreak/>
        <w:t>D’une part, on observe une évolution rhétorique tardive. Si les chancelleries occidentales (Washington, Paris, Bruxelles) et l’Union Européenne ont maintenu une position prudente en 2021-2022, la multiplication des preuves a forcé un durcissement de ton à partir de 2023, aboutissant à des condamnations explicites demandant au Rwanda de cesser son soutien au M23 [12]. Cependant, ces condamnations verbales n’ont pas été suivies de sanctions économiques d’envergure comparable à celles appliquées dans d’autres conflits internationaux contemporains, illustrant une forme de « tolérance stratégique » vis-à-vis de Kigali.</w:t>
      </w:r>
    </w:p>
    <w:p w14:paraId="0CB82566" w14:textId="7EBC7B77" w:rsidR="00E5032F" w:rsidRDefault="00E5032F" w:rsidP="00257F5B">
      <w:pPr>
        <w:spacing w:line="360" w:lineRule="auto"/>
        <w:jc w:val="both"/>
        <w:rPr>
          <w:rFonts w:ascii="Times New Roman" w:hAnsi="Times New Roman" w:cs="Times New Roman"/>
        </w:rPr>
      </w:pPr>
      <w:r>
        <w:rPr>
          <w:rFonts w:ascii="Times New Roman" w:hAnsi="Times New Roman" w:cs="Times New Roman"/>
        </w:rPr>
        <w:t>D’autre part, l’échec des mécanismes de résolution régionaux. Les processus de paix de Nairobi (volet militaire) et de Luanda (volet diplomatique) ont montré leurs limites structurelles. Les feuilles de route imposant un cessez-le-feu et un retrait du M23 ont été systématiquement violées. Le déploiement initial de la Force Régionale de la Communauté d’Afrique de l’Est (EACRF) a été perçu par la population congolaise et le gouvernement de Kinshasa comme inefficace, voire complaisant, menant à son retrait et son remplacement par la mission de la SADC (SAMIDRC) [1</w:t>
      </w:r>
      <w:r w:rsidR="00BE3F2E">
        <w:rPr>
          <w:rFonts w:ascii="Times New Roman" w:hAnsi="Times New Roman" w:cs="Times New Roman"/>
        </w:rPr>
        <w:t>5</w:t>
      </w:r>
      <w:r>
        <w:rPr>
          <w:rFonts w:ascii="Times New Roman" w:hAnsi="Times New Roman" w:cs="Times New Roman"/>
        </w:rPr>
        <w:t>]</w:t>
      </w:r>
      <w:r w:rsidR="00B60964">
        <w:rPr>
          <w:rFonts w:ascii="Times New Roman" w:hAnsi="Times New Roman" w:cs="Times New Roman"/>
        </w:rPr>
        <w:t>.</w:t>
      </w:r>
      <w:r w:rsidR="00082DD7">
        <w:rPr>
          <w:rFonts w:ascii="Times New Roman" w:hAnsi="Times New Roman" w:cs="Times New Roman"/>
        </w:rPr>
        <w:t xml:space="preserve"> </w:t>
      </w:r>
      <w:r w:rsidR="006B3639">
        <w:rPr>
          <w:rFonts w:ascii="Times New Roman" w:hAnsi="Times New Roman" w:cs="Times New Roman"/>
        </w:rPr>
        <w:t>L’échec de la force est-africaine (EACRF) a démontré les limites de la « diplomatie de voisinage » lorsque les intérêts économiques des États membres sont divergents [21].</w:t>
      </w:r>
    </w:p>
    <w:p w14:paraId="24A88274" w14:textId="1F326622" w:rsidR="00E5032F" w:rsidRPr="00444E11" w:rsidRDefault="00E5032F" w:rsidP="00257F5B">
      <w:pPr>
        <w:spacing w:line="360" w:lineRule="auto"/>
        <w:jc w:val="both"/>
        <w:rPr>
          <w:rFonts w:ascii="Times New Roman" w:hAnsi="Times New Roman" w:cs="Times New Roman"/>
          <w:b/>
          <w:bCs/>
          <w:i/>
          <w:iCs/>
        </w:rPr>
      </w:pPr>
      <w:r>
        <w:rPr>
          <w:rFonts w:ascii="Times New Roman" w:hAnsi="Times New Roman" w:cs="Times New Roman"/>
        </w:rPr>
        <w:t>3.</w:t>
      </w:r>
      <w:r w:rsidR="00D56415">
        <w:rPr>
          <w:rFonts w:ascii="Times New Roman" w:hAnsi="Times New Roman" w:cs="Times New Roman"/>
        </w:rPr>
        <w:t>4</w:t>
      </w:r>
      <w:r>
        <w:rPr>
          <w:rFonts w:ascii="Times New Roman" w:hAnsi="Times New Roman" w:cs="Times New Roman"/>
        </w:rPr>
        <w:t xml:space="preserve">. </w:t>
      </w:r>
      <w:r w:rsidRPr="00444E11">
        <w:rPr>
          <w:rFonts w:ascii="Times New Roman" w:hAnsi="Times New Roman" w:cs="Times New Roman"/>
          <w:b/>
          <w:bCs/>
          <w:i/>
          <w:iCs/>
        </w:rPr>
        <w:t>Conséquences : Une déstabilisation systémique de la région</w:t>
      </w:r>
    </w:p>
    <w:p w14:paraId="1DC26C2E" w14:textId="49EECC14" w:rsidR="00E5032F" w:rsidRDefault="00E5032F" w:rsidP="00257F5B">
      <w:pPr>
        <w:spacing w:line="360" w:lineRule="auto"/>
        <w:jc w:val="both"/>
        <w:rPr>
          <w:rFonts w:ascii="Times New Roman" w:hAnsi="Times New Roman" w:cs="Times New Roman"/>
        </w:rPr>
      </w:pPr>
      <w:r>
        <w:rPr>
          <w:rFonts w:ascii="Times New Roman" w:hAnsi="Times New Roman" w:cs="Times New Roman"/>
        </w:rPr>
        <w:t>L’implication du Rwanda a engendré des conséquences tangibles qui dépassent la simple sphère militaire :</w:t>
      </w:r>
    </w:p>
    <w:p w14:paraId="508BE685" w14:textId="77777777" w:rsidR="00EE0751" w:rsidRDefault="00E5032F" w:rsidP="00257F5B">
      <w:pPr>
        <w:pStyle w:val="Paragraphedeliste"/>
        <w:numPr>
          <w:ilvl w:val="0"/>
          <w:numId w:val="5"/>
        </w:numPr>
        <w:spacing w:line="360" w:lineRule="auto"/>
        <w:jc w:val="both"/>
        <w:rPr>
          <w:rFonts w:ascii="Times New Roman" w:hAnsi="Times New Roman" w:cs="Times New Roman"/>
        </w:rPr>
      </w:pPr>
      <w:r w:rsidRPr="00EE0751">
        <w:rPr>
          <w:rFonts w:ascii="Times New Roman" w:hAnsi="Times New Roman" w:cs="Times New Roman"/>
          <w:b/>
          <w:bCs/>
        </w:rPr>
        <w:t>Crise humanitaire aiguë</w:t>
      </w:r>
      <w:r w:rsidRPr="00444E11">
        <w:rPr>
          <w:rFonts w:ascii="Times New Roman" w:hAnsi="Times New Roman" w:cs="Times New Roman"/>
        </w:rPr>
        <w:t> : Le conflit a provoqué le déplacement de plusieurs millions de personnes (IDP) dans le Nord-Kivu entre 2022 et 2026, créant une ceinture de précarité autour de Goma et exacerbant les tensions foncières et ethniques.</w:t>
      </w:r>
    </w:p>
    <w:p w14:paraId="194F2166" w14:textId="77777777" w:rsidR="00DC2B5E" w:rsidRDefault="00E5032F" w:rsidP="00257F5B">
      <w:pPr>
        <w:pStyle w:val="Paragraphedeliste"/>
        <w:numPr>
          <w:ilvl w:val="0"/>
          <w:numId w:val="5"/>
        </w:numPr>
        <w:spacing w:line="360" w:lineRule="auto"/>
        <w:jc w:val="both"/>
        <w:rPr>
          <w:rFonts w:ascii="Times New Roman" w:hAnsi="Times New Roman" w:cs="Times New Roman"/>
        </w:rPr>
      </w:pPr>
      <w:r w:rsidRPr="00EE0751">
        <w:rPr>
          <w:rFonts w:ascii="Times New Roman" w:hAnsi="Times New Roman" w:cs="Times New Roman"/>
          <w:b/>
          <w:bCs/>
        </w:rPr>
        <w:t>Militarisation de l’espace régional </w:t>
      </w:r>
      <w:r w:rsidRPr="00EE0751">
        <w:rPr>
          <w:rFonts w:ascii="Times New Roman" w:hAnsi="Times New Roman" w:cs="Times New Roman"/>
        </w:rPr>
        <w:t>: Face à la menace du M23 soutenu par le Rwanda, la RDC a eu recours à la « </w:t>
      </w:r>
      <w:proofErr w:type="spellStart"/>
      <w:r w:rsidRPr="00EE0751">
        <w:rPr>
          <w:rFonts w:ascii="Times New Roman" w:hAnsi="Times New Roman" w:cs="Times New Roman"/>
        </w:rPr>
        <w:t>wazalendoisation</w:t>
      </w:r>
      <w:proofErr w:type="spellEnd"/>
      <w:r w:rsidRPr="00EE0751">
        <w:rPr>
          <w:rFonts w:ascii="Times New Roman" w:hAnsi="Times New Roman" w:cs="Times New Roman"/>
        </w:rPr>
        <w:t> » du conflit (appel aux groupes d’autodéfense locaux) et au recrutement de sociétés militaires privées, densifiant le chaos sécuritaire [14].</w:t>
      </w:r>
    </w:p>
    <w:p w14:paraId="344D496C" w14:textId="23788F58" w:rsidR="00DB0170" w:rsidRDefault="00E5032F" w:rsidP="00217F64">
      <w:pPr>
        <w:pStyle w:val="Paragraphedeliste"/>
        <w:numPr>
          <w:ilvl w:val="0"/>
          <w:numId w:val="5"/>
        </w:numPr>
        <w:spacing w:line="360" w:lineRule="auto"/>
        <w:jc w:val="both"/>
        <w:rPr>
          <w:rFonts w:ascii="Times New Roman" w:hAnsi="Times New Roman" w:cs="Times New Roman"/>
        </w:rPr>
      </w:pPr>
      <w:r w:rsidRPr="00DC2B5E">
        <w:rPr>
          <w:rFonts w:ascii="Times New Roman" w:hAnsi="Times New Roman" w:cs="Times New Roman"/>
          <w:b/>
          <w:bCs/>
        </w:rPr>
        <w:t>Risque d’embrasement interétatique</w:t>
      </w:r>
      <w:r w:rsidRPr="00DC2B5E">
        <w:rPr>
          <w:rFonts w:ascii="Times New Roman" w:hAnsi="Times New Roman" w:cs="Times New Roman"/>
        </w:rPr>
        <w:t> : Les résultats indiquent une internationalisation du théâtre d’opérations. La présence confirmée de troupes burundaises et l’implication indirecte de l’Ouganda (jouant un double jeu complexe) ont transformé l’Est de la RDC en un champ de bataille où s’affrontent les rivalités hégémoniques de l’Afrique des Grands Lacs [15].</w:t>
      </w:r>
    </w:p>
    <w:p w14:paraId="5963EEB6" w14:textId="77777777" w:rsidR="00D0689C" w:rsidRPr="007478FD" w:rsidRDefault="00D0689C" w:rsidP="007478FD">
      <w:pPr>
        <w:spacing w:line="360" w:lineRule="auto"/>
        <w:jc w:val="both"/>
        <w:rPr>
          <w:rFonts w:ascii="Times New Roman" w:hAnsi="Times New Roman" w:cs="Times New Roman"/>
        </w:rPr>
      </w:pPr>
    </w:p>
    <w:p w14:paraId="7CF3FE37" w14:textId="27062EE3" w:rsidR="00726986" w:rsidRPr="00D0689C" w:rsidRDefault="00DB0170" w:rsidP="00217F64">
      <w:pPr>
        <w:pStyle w:val="Paragraphedeliste"/>
        <w:numPr>
          <w:ilvl w:val="0"/>
          <w:numId w:val="5"/>
        </w:numPr>
        <w:spacing w:line="360" w:lineRule="auto"/>
        <w:jc w:val="both"/>
        <w:rPr>
          <w:rFonts w:ascii="Times New Roman" w:hAnsi="Times New Roman" w:cs="Times New Roman"/>
          <w:b/>
          <w:bCs/>
          <w:i/>
          <w:iCs/>
        </w:rPr>
      </w:pPr>
      <w:r w:rsidRPr="0035732C">
        <w:rPr>
          <w:rFonts w:ascii="Times New Roman" w:hAnsi="Times New Roman" w:cs="Times New Roman"/>
          <w:b/>
          <w:bCs/>
          <w:i/>
          <w:iCs/>
        </w:rPr>
        <w:lastRenderedPageBreak/>
        <w:t>DISCUSSION ET PERSPECTIVES</w:t>
      </w:r>
    </w:p>
    <w:p w14:paraId="56D60ABD" w14:textId="77DDAEE7" w:rsidR="00726986" w:rsidRDefault="00726986" w:rsidP="00217F64">
      <w:pPr>
        <w:spacing w:line="360" w:lineRule="auto"/>
        <w:jc w:val="both"/>
        <w:rPr>
          <w:rFonts w:ascii="Times New Roman" w:hAnsi="Times New Roman" w:cs="Times New Roman"/>
        </w:rPr>
      </w:pPr>
      <w:r>
        <w:rPr>
          <w:rFonts w:ascii="Times New Roman" w:hAnsi="Times New Roman" w:cs="Times New Roman"/>
        </w:rPr>
        <w:t>L’analyse des données empiriques à la lumière du réalisme offensif et du droit international public révèle une dissonance profonde entre la posture diplomatique du Rwanda et sa pratique opérationnelle. Cette section discute des implications de cette dualité avant de proposer des perspectives d’avenir.</w:t>
      </w:r>
    </w:p>
    <w:p w14:paraId="42628FC3" w14:textId="7EB53235" w:rsidR="00726986" w:rsidRPr="002203CC" w:rsidRDefault="002203CC" w:rsidP="002203CC">
      <w:pPr>
        <w:pStyle w:val="Paragraphedeliste"/>
        <w:numPr>
          <w:ilvl w:val="1"/>
          <w:numId w:val="5"/>
        </w:numPr>
        <w:spacing w:line="360" w:lineRule="auto"/>
        <w:jc w:val="both"/>
        <w:rPr>
          <w:rFonts w:ascii="Times New Roman" w:hAnsi="Times New Roman" w:cs="Times New Roman"/>
          <w:b/>
          <w:bCs/>
          <w:i/>
          <w:iCs/>
        </w:rPr>
      </w:pPr>
      <w:r>
        <w:rPr>
          <w:rFonts w:ascii="Times New Roman" w:hAnsi="Times New Roman" w:cs="Times New Roman"/>
          <w:b/>
          <w:bCs/>
          <w:i/>
          <w:iCs/>
        </w:rPr>
        <w:t xml:space="preserve"> </w:t>
      </w:r>
      <w:r w:rsidR="00D11AF7">
        <w:rPr>
          <w:rFonts w:ascii="Times New Roman" w:hAnsi="Times New Roman" w:cs="Times New Roman"/>
          <w:b/>
          <w:bCs/>
          <w:i/>
          <w:iCs/>
        </w:rPr>
        <w:t>Analyse critique : La complexité du dilemme de sécurité</w:t>
      </w:r>
    </w:p>
    <w:p w14:paraId="6558972B" w14:textId="25380558" w:rsidR="00FC7852" w:rsidRDefault="004D10C0" w:rsidP="00217F64">
      <w:pPr>
        <w:spacing w:line="360" w:lineRule="auto"/>
        <w:jc w:val="both"/>
        <w:rPr>
          <w:rFonts w:ascii="Times New Roman" w:hAnsi="Times New Roman" w:cs="Times New Roman"/>
        </w:rPr>
      </w:pPr>
      <w:r>
        <w:rPr>
          <w:rFonts w:ascii="Times New Roman" w:hAnsi="Times New Roman" w:cs="Times New Roman"/>
        </w:rPr>
        <w:t>L’interprétation des faits exige une rigueur nuancée. Il est impératif de reconnaître, à la lumière des rapports onusiens les plus récents (2025), que les préoccupations sécuritaires du Rwanda ne sont pas dénuées de fondement factuel. Les preuves de terrain confirment une recrudescence des capacités opérationnelles des FDLR et documentent des cas de co-belligérance tactique entre certaines unités des FARDC et ce groupe armé, en violation des instructions de Kinshasa [11]. Cette réalité crédibilise partiellement le narratif de Kigali : le Rwanda fait face à une menace objective à sa frontière.</w:t>
      </w:r>
    </w:p>
    <w:p w14:paraId="1EBE3EBB" w14:textId="4FDE0785" w:rsidR="004D10C0" w:rsidRDefault="00F24F19" w:rsidP="00217F64">
      <w:pPr>
        <w:spacing w:line="360" w:lineRule="auto"/>
        <w:jc w:val="both"/>
        <w:rPr>
          <w:rFonts w:ascii="Times New Roman" w:hAnsi="Times New Roman" w:cs="Times New Roman"/>
        </w:rPr>
      </w:pPr>
      <w:r>
        <w:rPr>
          <w:rFonts w:ascii="Times New Roman" w:hAnsi="Times New Roman" w:cs="Times New Roman"/>
        </w:rPr>
        <w:t>Toutefois, l’analyse de la proportionnalité de la réponse affaiblit la justification de la légitime défense. Si la neutralisation des FDLR était l’unique objectif, des opérations ciblées suffiraient. Or, l’occupation durable de vastes territoires (Bunagana, Rutshuru) et l’établissement d’une administration parallèle par le M23 suggèrent que cet impératif sécuritaire, bien que réel, est également instrumentalisé. Il sert de levier pour justifier une projection de puissance visant à maintenir une influence hégémonique sur l’Est de la RDC et ses circuits économiques [2], [22].</w:t>
      </w:r>
    </w:p>
    <w:p w14:paraId="494258A1" w14:textId="1F4ECC25" w:rsidR="00D50B9C" w:rsidRDefault="00D50B9C" w:rsidP="00217F64">
      <w:pPr>
        <w:spacing w:line="360" w:lineRule="auto"/>
        <w:jc w:val="both"/>
        <w:rPr>
          <w:rFonts w:ascii="Times New Roman" w:hAnsi="Times New Roman" w:cs="Times New Roman"/>
        </w:rPr>
      </w:pPr>
      <w:r>
        <w:rPr>
          <w:rFonts w:ascii="Times New Roman" w:hAnsi="Times New Roman" w:cs="Times New Roman"/>
        </w:rPr>
        <w:t>Cette anatomie du conflit inscrit le cas du M23 dans une phénoménologie plus large de la « guerre hybride » en Afrique. Elle présente des similitudes structurelles avec le conflit en Libye, où des puissances extérieures ont instrumentalisé des factions locales pour le contrôle des ressources énergétiques sans déclaration de guerre formelle. De même, la crise au Soudan (2023-2026) illustre comment le soutien logistique externe aux Forces de Soutien Rapide (FSR) a transformé une lutte de pouvoir interne en un conflit régionalisé et prédateur [23].</w:t>
      </w:r>
    </w:p>
    <w:p w14:paraId="1B64DC36" w14:textId="09BD2C8B" w:rsidR="00D50B9C" w:rsidRDefault="0080417A" w:rsidP="00217F64">
      <w:pPr>
        <w:spacing w:line="360" w:lineRule="auto"/>
        <w:jc w:val="both"/>
        <w:rPr>
          <w:rFonts w:ascii="Times New Roman" w:hAnsi="Times New Roman" w:cs="Times New Roman"/>
        </w:rPr>
      </w:pPr>
      <w:r>
        <w:rPr>
          <w:rFonts w:ascii="Times New Roman" w:hAnsi="Times New Roman" w:cs="Times New Roman"/>
        </w:rPr>
        <w:t>Toutefois, la singularité du cas rwandais par rapport aux modèles libyen ou soudanais réside dans la contiguïté géographique immédiate. Contrairement aux interventions à distance (</w:t>
      </w:r>
      <w:proofErr w:type="spellStart"/>
      <w:r>
        <w:rPr>
          <w:rFonts w:ascii="Times New Roman" w:hAnsi="Times New Roman" w:cs="Times New Roman"/>
        </w:rPr>
        <w:t>remote</w:t>
      </w:r>
      <w:proofErr w:type="spellEnd"/>
      <w:r>
        <w:rPr>
          <w:rFonts w:ascii="Times New Roman" w:hAnsi="Times New Roman" w:cs="Times New Roman"/>
        </w:rPr>
        <w:t xml:space="preserve"> warfare), la porosité de la frontière rwando-congolaise permet une intégration cinétique quasi-totale entre l’armée régulière (RDF) et son proxy (M23), rendant la fiction de l’autonomie rebelle beaucoup plus difficile à maintenir opérationnellement.</w:t>
      </w:r>
    </w:p>
    <w:p w14:paraId="135C79E8" w14:textId="77777777" w:rsidR="0080417A" w:rsidRDefault="0080417A" w:rsidP="00217F64">
      <w:pPr>
        <w:spacing w:line="360" w:lineRule="auto"/>
        <w:jc w:val="both"/>
        <w:rPr>
          <w:rFonts w:ascii="Times New Roman" w:hAnsi="Times New Roman" w:cs="Times New Roman"/>
        </w:rPr>
      </w:pPr>
    </w:p>
    <w:p w14:paraId="15AE7EFA" w14:textId="2218D8F4" w:rsidR="00726986" w:rsidRPr="00D0689C" w:rsidRDefault="00D0689C" w:rsidP="002203CC">
      <w:pPr>
        <w:pStyle w:val="Paragraphedeliste"/>
        <w:numPr>
          <w:ilvl w:val="1"/>
          <w:numId w:val="5"/>
        </w:numPr>
        <w:spacing w:line="360" w:lineRule="auto"/>
        <w:jc w:val="both"/>
        <w:rPr>
          <w:rFonts w:ascii="Times New Roman" w:hAnsi="Times New Roman" w:cs="Times New Roman"/>
          <w:b/>
          <w:bCs/>
          <w:i/>
          <w:iCs/>
        </w:rPr>
      </w:pPr>
      <w:r>
        <w:rPr>
          <w:rFonts w:ascii="Times New Roman" w:hAnsi="Times New Roman" w:cs="Times New Roman"/>
        </w:rPr>
        <w:lastRenderedPageBreak/>
        <w:t xml:space="preserve"> </w:t>
      </w:r>
      <w:r w:rsidR="00726986" w:rsidRPr="00D0689C">
        <w:rPr>
          <w:rFonts w:ascii="Times New Roman" w:hAnsi="Times New Roman" w:cs="Times New Roman"/>
          <w:b/>
          <w:bCs/>
          <w:i/>
          <w:iCs/>
        </w:rPr>
        <w:t>L’impasse du Droit International : La responsabilité de l’État à l’épreuve</w:t>
      </w:r>
    </w:p>
    <w:p w14:paraId="4B7D0F4C" w14:textId="2E47BC01" w:rsidR="00726986" w:rsidRDefault="00726986" w:rsidP="00217F64">
      <w:pPr>
        <w:spacing w:line="360" w:lineRule="auto"/>
        <w:jc w:val="both"/>
        <w:rPr>
          <w:rFonts w:ascii="Times New Roman" w:hAnsi="Times New Roman" w:cs="Times New Roman"/>
        </w:rPr>
      </w:pPr>
      <w:r>
        <w:rPr>
          <w:rFonts w:ascii="Times New Roman" w:hAnsi="Times New Roman" w:cs="Times New Roman"/>
        </w:rPr>
        <w:t>Juridiquement, la situation actuelle met en échec les mécanismes classiques de la responsabilité internationale.</w:t>
      </w:r>
    </w:p>
    <w:p w14:paraId="7CF21583" w14:textId="4DAF1BA1" w:rsidR="00B32D82" w:rsidRDefault="00726986" w:rsidP="00217F64">
      <w:pPr>
        <w:pStyle w:val="Paragraphedeliste"/>
        <w:numPr>
          <w:ilvl w:val="0"/>
          <w:numId w:val="7"/>
        </w:numPr>
        <w:spacing w:line="360" w:lineRule="auto"/>
        <w:jc w:val="both"/>
        <w:rPr>
          <w:rFonts w:ascii="Times New Roman" w:hAnsi="Times New Roman" w:cs="Times New Roman"/>
        </w:rPr>
      </w:pPr>
      <w:r w:rsidRPr="00B32D82">
        <w:rPr>
          <w:rFonts w:ascii="Times New Roman" w:hAnsi="Times New Roman" w:cs="Times New Roman"/>
          <w:b/>
          <w:bCs/>
        </w:rPr>
        <w:t>La qualification de l’agression</w:t>
      </w:r>
      <w:r w:rsidRPr="00B32D82">
        <w:rPr>
          <w:rFonts w:ascii="Times New Roman" w:hAnsi="Times New Roman" w:cs="Times New Roman"/>
        </w:rPr>
        <w:t xml:space="preserve"> : </w:t>
      </w:r>
      <w:r w:rsidR="00B4769A">
        <w:rPr>
          <w:rFonts w:ascii="Times New Roman" w:hAnsi="Times New Roman" w:cs="Times New Roman"/>
        </w:rPr>
        <w:t>Les preuves de présence des troupes RDF et l’appui en artillerie lourde dépassent le seuil de la simple « assistance » à un groupe rebelle. Sur le plan strictement doctrinal, ces actes réunissent les éléments constitutifs de l’agression définis par la Résolution 3314 (XXIX) de l’Assemblée Générale de l’ONU, indépendamment de l’absence de qualification politique formelle par le Conseil de Sécurité. Cette dissonance entre la qualification juridique des faits et le silence de l’organe exécutif de l’ONU crée un vide juridique factuel, alimentant un sentiment d’impunité [18].</w:t>
      </w:r>
    </w:p>
    <w:p w14:paraId="5BD7A975" w14:textId="3E9E4881" w:rsidR="00726986" w:rsidRDefault="00726986" w:rsidP="00217F64">
      <w:pPr>
        <w:pStyle w:val="Paragraphedeliste"/>
        <w:numPr>
          <w:ilvl w:val="0"/>
          <w:numId w:val="7"/>
        </w:numPr>
        <w:spacing w:line="360" w:lineRule="auto"/>
        <w:jc w:val="both"/>
        <w:rPr>
          <w:rFonts w:ascii="Times New Roman" w:hAnsi="Times New Roman" w:cs="Times New Roman"/>
        </w:rPr>
      </w:pPr>
      <w:r w:rsidRPr="00B32D82">
        <w:rPr>
          <w:rFonts w:ascii="Times New Roman" w:hAnsi="Times New Roman" w:cs="Times New Roman"/>
          <w:b/>
          <w:bCs/>
        </w:rPr>
        <w:t xml:space="preserve">La violation du Jus </w:t>
      </w:r>
      <w:proofErr w:type="spellStart"/>
      <w:r w:rsidRPr="00B32D82">
        <w:rPr>
          <w:rFonts w:ascii="Times New Roman" w:hAnsi="Times New Roman" w:cs="Times New Roman"/>
          <w:b/>
          <w:bCs/>
        </w:rPr>
        <w:t>Cogens</w:t>
      </w:r>
      <w:proofErr w:type="spellEnd"/>
      <w:r w:rsidRPr="00B32D82">
        <w:rPr>
          <w:rFonts w:ascii="Times New Roman" w:hAnsi="Times New Roman" w:cs="Times New Roman"/>
        </w:rPr>
        <w:t> : En soutenant un groupe accusé de crimes de guerre, le Rwanda viole des normes impératives du droit international. Toutefois, la difficulté pour la RDC réside dans la mise en œuvre de la responsabilité : les juridictions internationales (CIJ) nécessitent le consentement des États ou des bases de compétence complexes, rendant la voie judiciaire ardue bien que nécessaire.</w:t>
      </w:r>
    </w:p>
    <w:p w14:paraId="099B8251" w14:textId="16E0F9DB" w:rsidR="004F69B9" w:rsidRPr="004F69B9" w:rsidRDefault="004F69B9" w:rsidP="00217F64">
      <w:pPr>
        <w:pStyle w:val="Paragraphedeliste"/>
        <w:numPr>
          <w:ilvl w:val="0"/>
          <w:numId w:val="7"/>
        </w:numPr>
        <w:spacing w:line="360" w:lineRule="auto"/>
        <w:jc w:val="both"/>
        <w:rPr>
          <w:rFonts w:ascii="Times New Roman" w:hAnsi="Times New Roman" w:cs="Times New Roman"/>
        </w:rPr>
      </w:pPr>
      <w:r>
        <w:rPr>
          <w:rFonts w:ascii="Times New Roman" w:hAnsi="Times New Roman" w:cs="Times New Roman"/>
          <w:b/>
          <w:bCs/>
        </w:rPr>
        <w:t xml:space="preserve">L’analogie jurisprudentielle (Donbass/Syrie) : </w:t>
      </w:r>
      <w:r w:rsidRPr="004F69B9">
        <w:rPr>
          <w:rFonts w:ascii="Times New Roman" w:hAnsi="Times New Roman" w:cs="Times New Roman"/>
        </w:rPr>
        <w:t>La stratégie rwandaise présente des similitudes frappantes avec le précédent du conflit dans le Donbass (2014-2022), où la Russie utilisait des forces sans insigne (« petits hommes verts ») et des proxies locaux pour nier son implication tout en exerçant un « contrôle effectif » sur le terrain. De même, l’argumentaire sécuritaire de Kigali, invoquant une « zone tampon » contre les FDLR, mime la doctrine turque en Syrie du Nord contre le PKK/YPG. Toutefois,</w:t>
      </w:r>
      <w:r w:rsidR="00270500">
        <w:rPr>
          <w:rFonts w:ascii="Times New Roman" w:hAnsi="Times New Roman" w:cs="Times New Roman"/>
        </w:rPr>
        <w:t xml:space="preserve"> la communauté internationale peine à appliquer à la région des Grands Lacs la même rigueur juridique (sanctions massives) que celle déployée contre Moscou, révélant une application géographiquement sélective du droit international ( « double standard » ).</w:t>
      </w:r>
    </w:p>
    <w:p w14:paraId="7BA1F779" w14:textId="77777777" w:rsidR="00755C59" w:rsidRPr="00755C59" w:rsidRDefault="00755C59" w:rsidP="00755C59">
      <w:pPr>
        <w:pStyle w:val="Paragraphedeliste"/>
        <w:spacing w:line="360" w:lineRule="auto"/>
        <w:jc w:val="both"/>
        <w:rPr>
          <w:rFonts w:ascii="Times New Roman" w:hAnsi="Times New Roman" w:cs="Times New Roman"/>
        </w:rPr>
      </w:pPr>
    </w:p>
    <w:p w14:paraId="65912C91" w14:textId="299B1320" w:rsidR="00726986" w:rsidRPr="003C18E7" w:rsidRDefault="003C18E7" w:rsidP="002203CC">
      <w:pPr>
        <w:pStyle w:val="Paragraphedeliste"/>
        <w:numPr>
          <w:ilvl w:val="1"/>
          <w:numId w:val="5"/>
        </w:numPr>
        <w:spacing w:line="360" w:lineRule="auto"/>
        <w:jc w:val="both"/>
        <w:rPr>
          <w:rFonts w:ascii="Times New Roman" w:hAnsi="Times New Roman" w:cs="Times New Roman"/>
          <w:b/>
          <w:bCs/>
          <w:i/>
          <w:iCs/>
        </w:rPr>
      </w:pPr>
      <w:r>
        <w:rPr>
          <w:rFonts w:ascii="Times New Roman" w:hAnsi="Times New Roman" w:cs="Times New Roman"/>
        </w:rPr>
        <w:t xml:space="preserve"> </w:t>
      </w:r>
      <w:r w:rsidR="00726986" w:rsidRPr="003C18E7">
        <w:rPr>
          <w:rFonts w:ascii="Times New Roman" w:hAnsi="Times New Roman" w:cs="Times New Roman"/>
          <w:b/>
          <w:bCs/>
          <w:i/>
          <w:iCs/>
        </w:rPr>
        <w:t>Perspectives et Recommandations</w:t>
      </w:r>
    </w:p>
    <w:p w14:paraId="5B1F929B" w14:textId="3D39728A" w:rsidR="00726986" w:rsidRDefault="00726986" w:rsidP="00217F64">
      <w:pPr>
        <w:spacing w:line="360" w:lineRule="auto"/>
        <w:jc w:val="both"/>
        <w:rPr>
          <w:rFonts w:ascii="Times New Roman" w:hAnsi="Times New Roman" w:cs="Times New Roman"/>
        </w:rPr>
      </w:pPr>
      <w:r>
        <w:rPr>
          <w:rFonts w:ascii="Times New Roman" w:hAnsi="Times New Roman" w:cs="Times New Roman"/>
        </w:rPr>
        <w:t>Pour sortir de ce cycle de violence, trois axes doivent être priorisés :</w:t>
      </w:r>
    </w:p>
    <w:p w14:paraId="3220E875" w14:textId="77777777" w:rsidR="00755C59" w:rsidRDefault="00726986" w:rsidP="00217F64">
      <w:pPr>
        <w:pStyle w:val="Paragraphedeliste"/>
        <w:numPr>
          <w:ilvl w:val="0"/>
          <w:numId w:val="8"/>
        </w:numPr>
        <w:spacing w:line="360" w:lineRule="auto"/>
        <w:jc w:val="both"/>
        <w:rPr>
          <w:rFonts w:ascii="Times New Roman" w:hAnsi="Times New Roman" w:cs="Times New Roman"/>
        </w:rPr>
      </w:pPr>
      <w:r w:rsidRPr="00755C59">
        <w:rPr>
          <w:rFonts w:ascii="Times New Roman" w:hAnsi="Times New Roman" w:cs="Times New Roman"/>
          <w:b/>
          <w:bCs/>
        </w:rPr>
        <w:t>Sanctionner pour dissuader</w:t>
      </w:r>
      <w:r w:rsidRPr="00755C59">
        <w:rPr>
          <w:rFonts w:ascii="Times New Roman" w:hAnsi="Times New Roman" w:cs="Times New Roman"/>
        </w:rPr>
        <w:t> : La communauté internationale doit passer de la condamnation rhétorique aux sanctions ciblées (gel des avoirs, restrictions sur les minerais de conflit) contre les hauts responsables militaires et politiques rwandais impliqués, augmentant ainsi le coût politique de l’ingérence.</w:t>
      </w:r>
    </w:p>
    <w:p w14:paraId="10BBD339" w14:textId="77777777" w:rsidR="00755C59" w:rsidRDefault="00726986" w:rsidP="00217F64">
      <w:pPr>
        <w:pStyle w:val="Paragraphedeliste"/>
        <w:numPr>
          <w:ilvl w:val="0"/>
          <w:numId w:val="8"/>
        </w:numPr>
        <w:spacing w:line="360" w:lineRule="auto"/>
        <w:jc w:val="both"/>
        <w:rPr>
          <w:rFonts w:ascii="Times New Roman" w:hAnsi="Times New Roman" w:cs="Times New Roman"/>
        </w:rPr>
      </w:pPr>
      <w:r w:rsidRPr="00755C59">
        <w:rPr>
          <w:rFonts w:ascii="Times New Roman" w:hAnsi="Times New Roman" w:cs="Times New Roman"/>
          <w:b/>
          <w:bCs/>
        </w:rPr>
        <w:lastRenderedPageBreak/>
        <w:t>Renforcement endogène de la RDC</w:t>
      </w:r>
      <w:r w:rsidRPr="00755C59">
        <w:rPr>
          <w:rFonts w:ascii="Times New Roman" w:hAnsi="Times New Roman" w:cs="Times New Roman"/>
        </w:rPr>
        <w:t> : La solution durable ne viendra pas de l’extérieur. La réforme du secteur de sécurité (RSS) en RDC est l’urgence absolue. Seule une armée congolaise (FARDC) dissuasive et républicaine pourra sécuriser les frontières et rendre l’option militaire coûteuse pour les voisins.</w:t>
      </w:r>
    </w:p>
    <w:p w14:paraId="795D00A0" w14:textId="0CBB83CC" w:rsidR="00726986" w:rsidRDefault="00726986" w:rsidP="00217F64">
      <w:pPr>
        <w:pStyle w:val="Paragraphedeliste"/>
        <w:numPr>
          <w:ilvl w:val="0"/>
          <w:numId w:val="8"/>
        </w:numPr>
        <w:spacing w:line="360" w:lineRule="auto"/>
        <w:jc w:val="both"/>
        <w:rPr>
          <w:rFonts w:ascii="Times New Roman" w:hAnsi="Times New Roman" w:cs="Times New Roman"/>
        </w:rPr>
      </w:pPr>
      <w:r w:rsidRPr="00755C59">
        <w:rPr>
          <w:rFonts w:ascii="Times New Roman" w:hAnsi="Times New Roman" w:cs="Times New Roman"/>
          <w:b/>
          <w:bCs/>
        </w:rPr>
        <w:t>Un nouveau pacte régional</w:t>
      </w:r>
      <w:r w:rsidRPr="00755C59">
        <w:rPr>
          <w:rFonts w:ascii="Times New Roman" w:hAnsi="Times New Roman" w:cs="Times New Roman"/>
        </w:rPr>
        <w:t> : Il est impératif de repenser la CIRGL (Conférence Internationale sur la Région des Grands Lacs) pour inclure des mécanismes de vérification conjointe des frontières qui soient réellement indépendants, et non soumis au veto des belligérants.</w:t>
      </w:r>
    </w:p>
    <w:p w14:paraId="2D17E354" w14:textId="13D365AA" w:rsidR="00615FCF" w:rsidRDefault="00E66626" w:rsidP="00217F64">
      <w:pPr>
        <w:spacing w:line="360" w:lineRule="auto"/>
        <w:jc w:val="both"/>
        <w:rPr>
          <w:rFonts w:ascii="Times New Roman" w:hAnsi="Times New Roman" w:cs="Times New Roman"/>
        </w:rPr>
      </w:pPr>
      <w:r>
        <w:rPr>
          <w:rFonts w:ascii="Times New Roman" w:hAnsi="Times New Roman" w:cs="Times New Roman"/>
        </w:rPr>
        <w:t>Il convient toutefois de préciser que la qualification juridique proposée dans cette analyse relève d’une approche strictement doctrinale et académique du droit international public. Elle ne constitue ni une décision juridictionnelle, ni une qualification politique formellement adoptée par une instance internationale compétente, notamment le Conseil de sécurité des Nations unies. L’analyse s’inscrit ainsi dans une démarche scientifique visant à confronter les faits observés aux normes juridiques existantes, indépendamment de toute reconnaissance institutionnelle formelle.</w:t>
      </w:r>
    </w:p>
    <w:p w14:paraId="22FE71D4" w14:textId="6B18DA1B" w:rsidR="00726986" w:rsidRPr="00755C59" w:rsidRDefault="00726986" w:rsidP="002203CC">
      <w:pPr>
        <w:pStyle w:val="Paragraphedeliste"/>
        <w:numPr>
          <w:ilvl w:val="0"/>
          <w:numId w:val="5"/>
        </w:numPr>
        <w:spacing w:line="360" w:lineRule="auto"/>
        <w:jc w:val="both"/>
        <w:rPr>
          <w:rFonts w:ascii="Times New Roman" w:hAnsi="Times New Roman" w:cs="Times New Roman"/>
          <w:b/>
          <w:bCs/>
        </w:rPr>
      </w:pPr>
      <w:r w:rsidRPr="00755C59">
        <w:rPr>
          <w:rFonts w:ascii="Times New Roman" w:hAnsi="Times New Roman" w:cs="Times New Roman"/>
          <w:b/>
          <w:bCs/>
        </w:rPr>
        <w:t>CONCLUSION</w:t>
      </w:r>
    </w:p>
    <w:p w14:paraId="425354A0" w14:textId="7D62159C" w:rsidR="00726986" w:rsidRDefault="00097350" w:rsidP="00217F64">
      <w:pPr>
        <w:spacing w:line="360" w:lineRule="auto"/>
        <w:jc w:val="both"/>
        <w:rPr>
          <w:rFonts w:ascii="Times New Roman" w:hAnsi="Times New Roman" w:cs="Times New Roman"/>
        </w:rPr>
      </w:pPr>
      <w:r>
        <w:rPr>
          <w:rFonts w:ascii="Times New Roman" w:hAnsi="Times New Roman" w:cs="Times New Roman"/>
        </w:rPr>
        <w:t>Au terme de cette étude, l’analyse croisée des données empiriques et des cadres juridiques suggère que l’implication du Rwanda dans le conflit du M23 (2021-2026) dépasse les paramètres d’une simple influence diplomatique périphérique. Les éléments matériels recueillis indiquent une intervention militaire directe et indirecte qui, bien que motivée par un dilemme de sécurité perceptible face aux FDLR, contrevient de manière substantielle aux principes de souveraineté et de non-ingérence consacrés par la Charte des Nations Unies</w:t>
      </w:r>
      <w:r w:rsidR="009F6843">
        <w:rPr>
          <w:rFonts w:ascii="Times New Roman" w:hAnsi="Times New Roman" w:cs="Times New Roman"/>
        </w:rPr>
        <w:t xml:space="preserve"> </w:t>
      </w:r>
      <w:r w:rsidR="00143D2A">
        <w:rPr>
          <w:rFonts w:ascii="Times New Roman" w:hAnsi="Times New Roman" w:cs="Times New Roman"/>
        </w:rPr>
        <w:t>[6]</w:t>
      </w:r>
      <w:r>
        <w:rPr>
          <w:rFonts w:ascii="Times New Roman" w:hAnsi="Times New Roman" w:cs="Times New Roman"/>
        </w:rPr>
        <w:t>.</w:t>
      </w:r>
    </w:p>
    <w:p w14:paraId="4FF4DF08" w14:textId="444ED331" w:rsidR="00097350" w:rsidRDefault="001509D4" w:rsidP="00217F64">
      <w:pPr>
        <w:spacing w:line="360" w:lineRule="auto"/>
        <w:jc w:val="both"/>
        <w:rPr>
          <w:rFonts w:ascii="Times New Roman" w:hAnsi="Times New Roman" w:cs="Times New Roman"/>
        </w:rPr>
      </w:pPr>
      <w:r>
        <w:rPr>
          <w:rFonts w:ascii="Times New Roman" w:hAnsi="Times New Roman" w:cs="Times New Roman"/>
        </w:rPr>
        <w:t>L’article met en évidence une stratégie duale : le M23 apparaît comme un vecteur hybride permettant à Kigali de sécuriser sa « profondeur stratégique » tout en projetant ses intérêts économiques. Si cette approche offre des garanties tactiques à court terme pour le Rwanda, elle institue une instabilité structurelle qui hypothèque l’intégration régionale des Grands Lacs.</w:t>
      </w:r>
    </w:p>
    <w:p w14:paraId="5615638E" w14:textId="46919133" w:rsidR="00865342" w:rsidRDefault="004A26C2" w:rsidP="00270500">
      <w:pPr>
        <w:spacing w:line="360" w:lineRule="auto"/>
        <w:jc w:val="both"/>
        <w:rPr>
          <w:rFonts w:ascii="Times New Roman" w:hAnsi="Times New Roman" w:cs="Times New Roman"/>
        </w:rPr>
      </w:pPr>
      <w:r>
        <w:rPr>
          <w:rFonts w:ascii="Times New Roman" w:hAnsi="Times New Roman" w:cs="Times New Roman"/>
        </w:rPr>
        <w:t>En définitive, la pérennité de ce conflit souligne les limites des mécanismes de sécurité collective actuels face aux guerres par procuration. Au-delà de la nécessaire clarification juridique des faits par les instances compétentes, la résolution durable de cette crise ne pourra faire l’économie d’un traitement simultané des deux causes profondes : la neutralisation effective des menaces génocidaires (FDLR) et la restauration de l’autorité régalienne de l’État congolais sur l’ensemble de son territoire.</w:t>
      </w:r>
    </w:p>
    <w:p w14:paraId="7860241D" w14:textId="312F439D" w:rsidR="00B666C0" w:rsidRPr="00B666C0" w:rsidRDefault="00726986" w:rsidP="00B666C0">
      <w:pPr>
        <w:spacing w:line="360" w:lineRule="auto"/>
        <w:jc w:val="center"/>
        <w:rPr>
          <w:rFonts w:ascii="Times New Roman" w:hAnsi="Times New Roman" w:cs="Times New Roman"/>
          <w:b/>
          <w:bCs/>
        </w:rPr>
      </w:pPr>
      <w:r w:rsidRPr="008D0DE2">
        <w:rPr>
          <w:rFonts w:ascii="Times New Roman" w:hAnsi="Times New Roman" w:cs="Times New Roman"/>
          <w:b/>
          <w:bCs/>
        </w:rPr>
        <w:lastRenderedPageBreak/>
        <w:t>BIBLIOGRAPHIE</w:t>
      </w:r>
    </w:p>
    <w:p w14:paraId="1B5670B6" w14:textId="77777777" w:rsidR="00B666C0" w:rsidRDefault="00B666C0" w:rsidP="00217F64">
      <w:pPr>
        <w:spacing w:line="360" w:lineRule="auto"/>
        <w:jc w:val="both"/>
        <w:rPr>
          <w:rFonts w:ascii="Times New Roman" w:hAnsi="Times New Roman" w:cs="Times New Roman"/>
        </w:rPr>
      </w:pPr>
    </w:p>
    <w:p w14:paraId="418E6279" w14:textId="175DE49F"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[1] Buzan, B., &amp; </w:t>
      </w:r>
      <w:proofErr w:type="spellStart"/>
      <w:r>
        <w:rPr>
          <w:rFonts w:ascii="Times New Roman" w:hAnsi="Times New Roman" w:cs="Times New Roman"/>
        </w:rPr>
        <w:t>Wæver</w:t>
      </w:r>
      <w:proofErr w:type="spellEnd"/>
      <w:r>
        <w:rPr>
          <w:rFonts w:ascii="Times New Roman" w:hAnsi="Times New Roman" w:cs="Times New Roman"/>
        </w:rPr>
        <w:t xml:space="preserve">, O. (2003). </w:t>
      </w:r>
      <w:r w:rsidRPr="00DE0F06">
        <w:rPr>
          <w:rFonts w:ascii="Times New Roman" w:hAnsi="Times New Roman" w:cs="Times New Roman"/>
          <w:i/>
          <w:iCs/>
        </w:rPr>
        <w:t>Regions and Powers : The Structure of International Security.</w:t>
      </w:r>
      <w:r>
        <w:rPr>
          <w:rFonts w:ascii="Times New Roman" w:hAnsi="Times New Roman" w:cs="Times New Roman"/>
        </w:rPr>
        <w:t xml:space="preserve"> Cambridge : Cambridge University Press.</w:t>
      </w:r>
    </w:p>
    <w:p w14:paraId="450FB68E" w14:textId="4B092E88"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[2] Stearns, J. (2012). </w:t>
      </w:r>
      <w:r w:rsidRPr="003131F5">
        <w:rPr>
          <w:rFonts w:ascii="Times New Roman" w:hAnsi="Times New Roman" w:cs="Times New Roman"/>
          <w:i/>
          <w:iCs/>
        </w:rPr>
        <w:t>Dancing in the Glory of Monsters : The Collapse of the Congo and the Great War of Africa</w:t>
      </w:r>
      <w:r>
        <w:rPr>
          <w:rFonts w:ascii="Times New Roman" w:hAnsi="Times New Roman" w:cs="Times New Roman"/>
        </w:rPr>
        <w:t>. New York : PublicAffairs.</w:t>
      </w:r>
    </w:p>
    <w:p w14:paraId="2519FEE4" w14:textId="288F8C7F" w:rsidR="00B666C0" w:rsidRPr="00AE2AE7" w:rsidRDefault="00B666C0" w:rsidP="00217F64">
      <w:pPr>
        <w:spacing w:line="360" w:lineRule="auto"/>
        <w:jc w:val="both"/>
        <w:rPr>
          <w:rFonts w:ascii="Times New Roman" w:hAnsi="Times New Roman" w:cs="Times New Roman"/>
          <w:i/>
          <w:iCs/>
        </w:rPr>
      </w:pPr>
      <w:r>
        <w:rPr>
          <w:rFonts w:ascii="Times New Roman" w:hAnsi="Times New Roman" w:cs="Times New Roman"/>
        </w:rPr>
        <w:t xml:space="preserve">[3] Mumford, A. (2013). Proxy Warfare. </w:t>
      </w:r>
      <w:proofErr w:type="spellStart"/>
      <w:r w:rsidRPr="0012156E">
        <w:rPr>
          <w:rFonts w:ascii="Times New Roman" w:hAnsi="Times New Roman" w:cs="Times New Roman"/>
          <w:i/>
          <w:iCs/>
        </w:rPr>
        <w:t>Polity</w:t>
      </w:r>
      <w:proofErr w:type="spellEnd"/>
      <w:r w:rsidRPr="0012156E">
        <w:rPr>
          <w:rFonts w:ascii="Times New Roman" w:hAnsi="Times New Roman" w:cs="Times New Roman"/>
          <w:i/>
          <w:iCs/>
        </w:rPr>
        <w:t xml:space="preserve"> Press.</w:t>
      </w:r>
    </w:p>
    <w:p w14:paraId="47153293" w14:textId="49DE6F50"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[4] Conseil de Sécurité des Nations Unies. (2022). </w:t>
      </w:r>
      <w:r w:rsidRPr="00AE2AE7">
        <w:rPr>
          <w:rFonts w:ascii="Times New Roman" w:hAnsi="Times New Roman" w:cs="Times New Roman"/>
          <w:i/>
          <w:iCs/>
        </w:rPr>
        <w:t>Rapport final du Groupe d’experts sur la République démocratique du Congo</w:t>
      </w:r>
      <w:r>
        <w:rPr>
          <w:rFonts w:ascii="Times New Roman" w:hAnsi="Times New Roman" w:cs="Times New Roman"/>
        </w:rPr>
        <w:t xml:space="preserve"> (S/2022/479). New York : ONU.</w:t>
      </w:r>
    </w:p>
    <w:p w14:paraId="6526B8AE" w14:textId="144D9E74"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[5] Reyntjens, F. (2013). </w:t>
      </w:r>
      <w:r w:rsidRPr="00836D77">
        <w:rPr>
          <w:rFonts w:ascii="Times New Roman" w:hAnsi="Times New Roman" w:cs="Times New Roman"/>
          <w:i/>
          <w:iCs/>
        </w:rPr>
        <w:t>Political Governance in Post-Genocide Rwanda.</w:t>
      </w:r>
      <w:r>
        <w:rPr>
          <w:rFonts w:ascii="Times New Roman" w:hAnsi="Times New Roman" w:cs="Times New Roman"/>
        </w:rPr>
        <w:t xml:space="preserve"> Cambridge : Cambridge University Press.</w:t>
      </w:r>
    </w:p>
    <w:p w14:paraId="0B627595" w14:textId="61FC5CD7"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[6] Nations Unies. (1945). </w:t>
      </w:r>
      <w:r w:rsidRPr="00845859">
        <w:rPr>
          <w:rFonts w:ascii="Times New Roman" w:hAnsi="Times New Roman" w:cs="Times New Roman"/>
          <w:i/>
          <w:iCs/>
        </w:rPr>
        <w:t xml:space="preserve">Charte des Nations Unies. </w:t>
      </w:r>
      <w:r>
        <w:rPr>
          <w:rFonts w:ascii="Times New Roman" w:hAnsi="Times New Roman" w:cs="Times New Roman"/>
        </w:rPr>
        <w:t>Article 2(4). San Francisco.</w:t>
      </w:r>
    </w:p>
    <w:p w14:paraId="18D24EBD" w14:textId="46C93AFA"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[7] Autesserre, S. (2010). </w:t>
      </w:r>
      <w:r w:rsidRPr="00E51E8E">
        <w:rPr>
          <w:rFonts w:ascii="Times New Roman" w:hAnsi="Times New Roman" w:cs="Times New Roman"/>
          <w:i/>
          <w:iCs/>
        </w:rPr>
        <w:t>The Trouble with the Congo : Local Violence and the Failure of International Peacebuilding.</w:t>
      </w:r>
      <w:r>
        <w:rPr>
          <w:rFonts w:ascii="Times New Roman" w:hAnsi="Times New Roman" w:cs="Times New Roman"/>
        </w:rPr>
        <w:t xml:space="preserve"> Cambridge : Cambridge University Press.</w:t>
      </w:r>
    </w:p>
    <w:p w14:paraId="02DD3907" w14:textId="4965C619"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Mearsheimer</w:t>
      </w:r>
      <w:proofErr w:type="spellEnd"/>
      <w:r>
        <w:rPr>
          <w:rFonts w:ascii="Times New Roman" w:hAnsi="Times New Roman" w:cs="Times New Roman"/>
        </w:rPr>
        <w:t xml:space="preserve">, J. J. (2001). </w:t>
      </w:r>
      <w:r w:rsidRPr="004933B8">
        <w:rPr>
          <w:rFonts w:ascii="Times New Roman" w:hAnsi="Times New Roman" w:cs="Times New Roman"/>
          <w:i/>
          <w:iCs/>
        </w:rPr>
        <w:t xml:space="preserve">The </w:t>
      </w:r>
      <w:proofErr w:type="spellStart"/>
      <w:r w:rsidRPr="004933B8">
        <w:rPr>
          <w:rFonts w:ascii="Times New Roman" w:hAnsi="Times New Roman" w:cs="Times New Roman"/>
          <w:i/>
          <w:iCs/>
        </w:rPr>
        <w:t>Tragedy</w:t>
      </w:r>
      <w:proofErr w:type="spellEnd"/>
      <w:r w:rsidRPr="004933B8">
        <w:rPr>
          <w:rFonts w:ascii="Times New Roman" w:hAnsi="Times New Roman" w:cs="Times New Roman"/>
          <w:i/>
          <w:iCs/>
        </w:rPr>
        <w:t xml:space="preserve"> of Great Power Politics</w:t>
      </w:r>
      <w:r>
        <w:rPr>
          <w:rFonts w:ascii="Times New Roman" w:hAnsi="Times New Roman" w:cs="Times New Roman"/>
        </w:rPr>
        <w:t xml:space="preserve">. New York : W.W. Norton &amp; </w:t>
      </w:r>
      <w:proofErr w:type="spellStart"/>
      <w:r>
        <w:rPr>
          <w:rFonts w:ascii="Times New Roman" w:hAnsi="Times New Roman" w:cs="Times New Roman"/>
        </w:rPr>
        <w:t>Company</w:t>
      </w:r>
      <w:proofErr w:type="spellEnd"/>
      <w:r>
        <w:rPr>
          <w:rFonts w:ascii="Times New Roman" w:hAnsi="Times New Roman" w:cs="Times New Roman"/>
        </w:rPr>
        <w:t>.</w:t>
      </w:r>
    </w:p>
    <w:p w14:paraId="14728590" w14:textId="740B5FD7"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[9] UNOSAT. (2023). </w:t>
      </w:r>
      <w:r w:rsidRPr="003B69F9">
        <w:rPr>
          <w:rFonts w:ascii="Times New Roman" w:hAnsi="Times New Roman" w:cs="Times New Roman"/>
          <w:i/>
          <w:iCs/>
        </w:rPr>
        <w:t xml:space="preserve">Satellite </w:t>
      </w:r>
      <w:proofErr w:type="spellStart"/>
      <w:r w:rsidRPr="003B69F9">
        <w:rPr>
          <w:rFonts w:ascii="Times New Roman" w:hAnsi="Times New Roman" w:cs="Times New Roman"/>
          <w:i/>
          <w:iCs/>
        </w:rPr>
        <w:t>Detected</w:t>
      </w:r>
      <w:proofErr w:type="spellEnd"/>
      <w:r w:rsidRPr="003B69F9">
        <w:rPr>
          <w:rFonts w:ascii="Times New Roman" w:hAnsi="Times New Roman" w:cs="Times New Roman"/>
          <w:i/>
          <w:iCs/>
        </w:rPr>
        <w:t xml:space="preserve"> Activity in North Kivu Province, DRC</w:t>
      </w:r>
      <w:r>
        <w:rPr>
          <w:rFonts w:ascii="Times New Roman" w:hAnsi="Times New Roman" w:cs="Times New Roman"/>
        </w:rPr>
        <w:t>. Geneva : UNITAR.</w:t>
      </w:r>
    </w:p>
    <w:p w14:paraId="615E5966" w14:textId="57040F55"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[10] Hoffman, F. G. (2007). </w:t>
      </w:r>
      <w:r w:rsidRPr="004E7818">
        <w:rPr>
          <w:rFonts w:ascii="Times New Roman" w:hAnsi="Times New Roman" w:cs="Times New Roman"/>
          <w:i/>
          <w:iCs/>
        </w:rPr>
        <w:t>Conflict in the 21st Century : The Rise of Hybrid Wars.</w:t>
      </w:r>
      <w:r>
        <w:rPr>
          <w:rFonts w:ascii="Times New Roman" w:hAnsi="Times New Roman" w:cs="Times New Roman"/>
        </w:rPr>
        <w:t xml:space="preserve"> Arlington : Potomac Institute for Policy Studies.</w:t>
      </w:r>
    </w:p>
    <w:p w14:paraId="2694F753" w14:textId="38A0711F"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[11] Conseil de Sécurité des Nations Unies. (2024). </w:t>
      </w:r>
      <w:r w:rsidRPr="0098138A">
        <w:rPr>
          <w:rFonts w:ascii="Times New Roman" w:hAnsi="Times New Roman" w:cs="Times New Roman"/>
          <w:i/>
          <w:iCs/>
        </w:rPr>
        <w:t xml:space="preserve">Rapport final du Groupe d’experts sur la République démocratique du Congo </w:t>
      </w:r>
      <w:r>
        <w:rPr>
          <w:rFonts w:ascii="Times New Roman" w:hAnsi="Times New Roman" w:cs="Times New Roman"/>
        </w:rPr>
        <w:t>(S/2024/431). New York : ONU.</w:t>
      </w:r>
    </w:p>
    <w:p w14:paraId="4266D77F" w14:textId="20E33D26"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[12] International Crisis Group. (2022). </w:t>
      </w:r>
      <w:proofErr w:type="spellStart"/>
      <w:r w:rsidRPr="00E731C9">
        <w:rPr>
          <w:rFonts w:ascii="Times New Roman" w:hAnsi="Times New Roman" w:cs="Times New Roman"/>
          <w:i/>
          <w:iCs/>
        </w:rPr>
        <w:t>Rwanda’s</w:t>
      </w:r>
      <w:proofErr w:type="spellEnd"/>
      <w:r w:rsidRPr="00E731C9">
        <w:rPr>
          <w:rFonts w:ascii="Times New Roman" w:hAnsi="Times New Roman" w:cs="Times New Roman"/>
          <w:i/>
          <w:iCs/>
        </w:rPr>
        <w:t xml:space="preserve"> Intervention in DRC : Back to the Future ? </w:t>
      </w:r>
      <w:r>
        <w:rPr>
          <w:rFonts w:ascii="Times New Roman" w:hAnsi="Times New Roman" w:cs="Times New Roman"/>
        </w:rPr>
        <w:t>Africa Briefing N°186. Nairobi/Brussels.</w:t>
      </w:r>
    </w:p>
    <w:p w14:paraId="2B3F0221" w14:textId="1965BF9C"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[13] Human Rights Watch. (2023). </w:t>
      </w:r>
      <w:r w:rsidRPr="003869BC">
        <w:rPr>
          <w:rFonts w:ascii="Times New Roman" w:hAnsi="Times New Roman" w:cs="Times New Roman"/>
          <w:i/>
          <w:iCs/>
        </w:rPr>
        <w:t>DR Congo : Rwanda-Backed Rebels Commit War Crimes.</w:t>
      </w:r>
      <w:r>
        <w:rPr>
          <w:rFonts w:ascii="Times New Roman" w:hAnsi="Times New Roman" w:cs="Times New Roman"/>
        </w:rPr>
        <w:t xml:space="preserve"> New York.</w:t>
      </w:r>
    </w:p>
    <w:p w14:paraId="0A30F948" w14:textId="2E2BC8BE"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[14] Département d’État des États-Unis. (2023). </w:t>
      </w:r>
      <w:r w:rsidRPr="003A3A3E">
        <w:rPr>
          <w:rFonts w:ascii="Times New Roman" w:hAnsi="Times New Roman" w:cs="Times New Roman"/>
          <w:i/>
          <w:iCs/>
        </w:rPr>
        <w:t xml:space="preserve">Press Statement : </w:t>
      </w:r>
      <w:proofErr w:type="spellStart"/>
      <w:r w:rsidRPr="003A3A3E">
        <w:rPr>
          <w:rFonts w:ascii="Times New Roman" w:hAnsi="Times New Roman" w:cs="Times New Roman"/>
          <w:i/>
          <w:iCs/>
        </w:rPr>
        <w:t>Condemning</w:t>
      </w:r>
      <w:proofErr w:type="spellEnd"/>
      <w:r w:rsidRPr="003A3A3E">
        <w:rPr>
          <w:rFonts w:ascii="Times New Roman" w:hAnsi="Times New Roman" w:cs="Times New Roman"/>
          <w:i/>
          <w:iCs/>
        </w:rPr>
        <w:t xml:space="preserve"> the Escalation of Violence in Eastern DRC</w:t>
      </w:r>
      <w:r>
        <w:rPr>
          <w:rFonts w:ascii="Times New Roman" w:hAnsi="Times New Roman" w:cs="Times New Roman"/>
        </w:rPr>
        <w:t>. Washington D.C.</w:t>
      </w:r>
    </w:p>
    <w:p w14:paraId="5C33DD2A" w14:textId="0FEA9DE9" w:rsidR="00B666C0" w:rsidRDefault="00B666C0" w:rsidP="00217F64">
      <w:pPr>
        <w:spacing w:line="360" w:lineRule="auto"/>
        <w:jc w:val="both"/>
        <w:rPr>
          <w:rFonts w:ascii="Times New Roman" w:hAnsi="Times New Roman" w:cs="Times New Roman"/>
        </w:rPr>
      </w:pPr>
      <w:r>
        <w:rPr>
          <w:rFonts w:ascii="Times New Roman" w:hAnsi="Times New Roman" w:cs="Times New Roman"/>
        </w:rPr>
        <w:lastRenderedPageBreak/>
        <w:t xml:space="preserve">[15] Union Africaine. (2024). </w:t>
      </w:r>
      <w:r w:rsidRPr="0069554A">
        <w:rPr>
          <w:rFonts w:ascii="Times New Roman" w:hAnsi="Times New Roman" w:cs="Times New Roman"/>
          <w:i/>
          <w:iCs/>
        </w:rPr>
        <w:t>Communiqué du Conseil de Paix et de Sécurité (CPS) sur la situation sécuritaire dans l’Est de la RDC.</w:t>
      </w:r>
      <w:r>
        <w:rPr>
          <w:rFonts w:ascii="Times New Roman" w:hAnsi="Times New Roman" w:cs="Times New Roman"/>
        </w:rPr>
        <w:t xml:space="preserve"> 1198</w:t>
      </w:r>
      <w:r w:rsidRPr="00B666C0">
        <w:rPr>
          <w:rFonts w:ascii="Times New Roman" w:hAnsi="Times New Roman" w:cs="Times New Roman"/>
          <w:vertAlign w:val="superscript"/>
        </w:rPr>
        <w:t>e</w:t>
      </w:r>
      <w:r>
        <w:rPr>
          <w:rFonts w:ascii="Times New Roman" w:hAnsi="Times New Roman" w:cs="Times New Roman"/>
        </w:rPr>
        <w:t xml:space="preserve"> réunion. Addis-Abeba.</w:t>
      </w:r>
    </w:p>
    <w:p w14:paraId="5B10FEFE" w14:textId="7F06AAA8"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[16] </w:t>
      </w:r>
      <w:proofErr w:type="spellStart"/>
      <w:r>
        <w:rPr>
          <w:rFonts w:ascii="Times New Roman" w:hAnsi="Times New Roman" w:cs="Times New Roman"/>
        </w:rPr>
        <w:t>Jervis</w:t>
      </w:r>
      <w:proofErr w:type="spellEnd"/>
      <w:r>
        <w:rPr>
          <w:rFonts w:ascii="Times New Roman" w:hAnsi="Times New Roman" w:cs="Times New Roman"/>
        </w:rPr>
        <w:t xml:space="preserve">, R. (1978). Cooperation under the Security Dilemma. </w:t>
      </w:r>
      <w:r w:rsidRPr="005439A8">
        <w:rPr>
          <w:rFonts w:ascii="Times New Roman" w:hAnsi="Times New Roman" w:cs="Times New Roman"/>
          <w:i/>
          <w:iCs/>
        </w:rPr>
        <w:t>World Politics,</w:t>
      </w:r>
      <w:r>
        <w:rPr>
          <w:rFonts w:ascii="Times New Roman" w:hAnsi="Times New Roman" w:cs="Times New Roman"/>
        </w:rPr>
        <w:t xml:space="preserve"> 30(2), 167-214.</w:t>
      </w:r>
    </w:p>
    <w:p w14:paraId="1C48B642" w14:textId="4DDB55BC" w:rsidR="00B666C0" w:rsidRPr="0006656F" w:rsidRDefault="00B666C0" w:rsidP="00217F64">
      <w:pPr>
        <w:spacing w:line="360" w:lineRule="auto"/>
        <w:jc w:val="both"/>
        <w:rPr>
          <w:rFonts w:ascii="Times New Roman" w:hAnsi="Times New Roman" w:cs="Times New Roman"/>
          <w:i/>
          <w:iCs/>
        </w:rPr>
      </w:pPr>
      <w:r>
        <w:rPr>
          <w:rFonts w:ascii="Times New Roman" w:hAnsi="Times New Roman" w:cs="Times New Roman"/>
        </w:rPr>
        <w:t xml:space="preserve">[17] </w:t>
      </w:r>
      <w:proofErr w:type="spellStart"/>
      <w:r>
        <w:rPr>
          <w:rFonts w:ascii="Times New Roman" w:hAnsi="Times New Roman" w:cs="Times New Roman"/>
        </w:rPr>
        <w:t>Titeca</w:t>
      </w:r>
      <w:proofErr w:type="spellEnd"/>
      <w:r>
        <w:rPr>
          <w:rFonts w:ascii="Times New Roman" w:hAnsi="Times New Roman" w:cs="Times New Roman"/>
        </w:rPr>
        <w:t xml:space="preserve">, K. (2023). Uganda and the M23 : The </w:t>
      </w:r>
      <w:proofErr w:type="spellStart"/>
      <w:r>
        <w:rPr>
          <w:rFonts w:ascii="Times New Roman" w:hAnsi="Times New Roman" w:cs="Times New Roman"/>
        </w:rPr>
        <w:t>messy</w:t>
      </w:r>
      <w:proofErr w:type="spellEnd"/>
      <w:r>
        <w:rPr>
          <w:rFonts w:ascii="Times New Roman" w:hAnsi="Times New Roman" w:cs="Times New Roman"/>
        </w:rPr>
        <w:t xml:space="preserve"> reality of regional politics. </w:t>
      </w:r>
      <w:r w:rsidRPr="0069431C">
        <w:rPr>
          <w:rFonts w:ascii="Times New Roman" w:hAnsi="Times New Roman" w:cs="Times New Roman"/>
          <w:i/>
          <w:iCs/>
        </w:rPr>
        <w:t>Egmont Institute.</w:t>
      </w:r>
    </w:p>
    <w:p w14:paraId="7AE9EC88" w14:textId="3A48E30C"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[18] Nations Unies, Assemblée Générale. (1974). </w:t>
      </w:r>
      <w:r w:rsidRPr="0006656F">
        <w:rPr>
          <w:rFonts w:ascii="Times New Roman" w:hAnsi="Times New Roman" w:cs="Times New Roman"/>
          <w:i/>
          <w:iCs/>
        </w:rPr>
        <w:t>Résolution 3314 (XXIX). Définition de l’agression.</w:t>
      </w:r>
      <w:r>
        <w:rPr>
          <w:rFonts w:ascii="Times New Roman" w:hAnsi="Times New Roman" w:cs="Times New Roman"/>
        </w:rPr>
        <w:t xml:space="preserve"> New York.</w:t>
      </w:r>
    </w:p>
    <w:p w14:paraId="343773EB" w14:textId="1DBE66CF"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[19] Crawford, J. (2002). </w:t>
      </w:r>
      <w:r w:rsidRPr="004E7949">
        <w:rPr>
          <w:rFonts w:ascii="Times New Roman" w:hAnsi="Times New Roman" w:cs="Times New Roman"/>
          <w:i/>
          <w:iCs/>
        </w:rPr>
        <w:t xml:space="preserve">The International Law </w:t>
      </w:r>
      <w:proofErr w:type="spellStart"/>
      <w:r w:rsidRPr="004E7949">
        <w:rPr>
          <w:rFonts w:ascii="Times New Roman" w:hAnsi="Times New Roman" w:cs="Times New Roman"/>
          <w:i/>
          <w:iCs/>
        </w:rPr>
        <w:t>Commission’s</w:t>
      </w:r>
      <w:proofErr w:type="spellEnd"/>
      <w:r w:rsidRPr="004E7949">
        <w:rPr>
          <w:rFonts w:ascii="Times New Roman" w:hAnsi="Times New Roman" w:cs="Times New Roman"/>
          <w:i/>
          <w:iCs/>
        </w:rPr>
        <w:t xml:space="preserve"> Articles on State Responsibility : Introduction, </w:t>
      </w:r>
      <w:proofErr w:type="spellStart"/>
      <w:r w:rsidRPr="004E7949">
        <w:rPr>
          <w:rFonts w:ascii="Times New Roman" w:hAnsi="Times New Roman" w:cs="Times New Roman"/>
          <w:i/>
          <w:iCs/>
        </w:rPr>
        <w:t>Text</w:t>
      </w:r>
      <w:proofErr w:type="spellEnd"/>
      <w:r w:rsidRPr="004E7949">
        <w:rPr>
          <w:rFonts w:ascii="Times New Roman" w:hAnsi="Times New Roman" w:cs="Times New Roman"/>
          <w:i/>
          <w:iCs/>
        </w:rPr>
        <w:t xml:space="preserve"> and </w:t>
      </w:r>
      <w:proofErr w:type="spellStart"/>
      <w:r w:rsidRPr="004E7949">
        <w:rPr>
          <w:rFonts w:ascii="Times New Roman" w:hAnsi="Times New Roman" w:cs="Times New Roman"/>
          <w:i/>
          <w:iCs/>
        </w:rPr>
        <w:t>Commentaries</w:t>
      </w:r>
      <w:proofErr w:type="spellEnd"/>
      <w:r w:rsidRPr="004E7949">
        <w:rPr>
          <w:rFonts w:ascii="Times New Roman" w:hAnsi="Times New Roman" w:cs="Times New Roman"/>
          <w:i/>
          <w:iCs/>
        </w:rPr>
        <w:t xml:space="preserve">. </w:t>
      </w:r>
      <w:r w:rsidRPr="00151E36">
        <w:rPr>
          <w:rFonts w:ascii="Times New Roman" w:hAnsi="Times New Roman" w:cs="Times New Roman"/>
        </w:rPr>
        <w:t>Cambridge</w:t>
      </w:r>
      <w:r w:rsidRPr="004E7949">
        <w:rPr>
          <w:rFonts w:ascii="Times New Roman" w:hAnsi="Times New Roman" w:cs="Times New Roman"/>
          <w:i/>
          <w:iCs/>
        </w:rPr>
        <w:t> :</w:t>
      </w:r>
      <w:r>
        <w:rPr>
          <w:rFonts w:ascii="Times New Roman" w:hAnsi="Times New Roman" w:cs="Times New Roman"/>
        </w:rPr>
        <w:t xml:space="preserve"> Cambridge University Press.</w:t>
      </w:r>
    </w:p>
    <w:p w14:paraId="5A2B252B" w14:textId="2C7ADE21"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[20] Dwyer, M., &amp; </w:t>
      </w:r>
      <w:proofErr w:type="spellStart"/>
      <w:r>
        <w:rPr>
          <w:rFonts w:ascii="Times New Roman" w:hAnsi="Times New Roman" w:cs="Times New Roman"/>
        </w:rPr>
        <w:t>Molony</w:t>
      </w:r>
      <w:proofErr w:type="spellEnd"/>
      <w:r>
        <w:rPr>
          <w:rFonts w:ascii="Times New Roman" w:hAnsi="Times New Roman" w:cs="Times New Roman"/>
        </w:rPr>
        <w:t xml:space="preserve">, T. (2024). Social Media and the Digitalization of African Conflicts : The Case of the Great Lakes. </w:t>
      </w:r>
      <w:r w:rsidRPr="00A62960">
        <w:rPr>
          <w:rFonts w:ascii="Times New Roman" w:hAnsi="Times New Roman" w:cs="Times New Roman"/>
          <w:i/>
          <w:iCs/>
        </w:rPr>
        <w:t>African Affairs,</w:t>
      </w:r>
      <w:r>
        <w:rPr>
          <w:rFonts w:ascii="Times New Roman" w:hAnsi="Times New Roman" w:cs="Times New Roman"/>
        </w:rPr>
        <w:t xml:space="preserve"> 123(490), 21-45.</w:t>
      </w:r>
    </w:p>
    <w:p w14:paraId="10AA3E93" w14:textId="2D98388E"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[21] Wilén, N. (2024). The Failure of the East African Community Regional Force (EACRF) in DRC : Lessons for Regional Peacekeeping. </w:t>
      </w:r>
      <w:r w:rsidRPr="00CF6352">
        <w:rPr>
          <w:rFonts w:ascii="Times New Roman" w:hAnsi="Times New Roman" w:cs="Times New Roman"/>
          <w:i/>
          <w:iCs/>
        </w:rPr>
        <w:t xml:space="preserve">International Affairs, </w:t>
      </w:r>
      <w:r>
        <w:rPr>
          <w:rFonts w:ascii="Times New Roman" w:hAnsi="Times New Roman" w:cs="Times New Roman"/>
        </w:rPr>
        <w:t>100(3), 1105-1124.</w:t>
      </w:r>
    </w:p>
    <w:p w14:paraId="6E2F4FB6" w14:textId="77777777" w:rsidR="00B666C0" w:rsidRDefault="00B666C0" w:rsidP="00217F64">
      <w:pPr>
        <w:spacing w:line="360" w:lineRule="auto"/>
        <w:jc w:val="both"/>
        <w:rPr>
          <w:rFonts w:ascii="Times New Roman" w:hAnsi="Times New Roman" w:cs="Times New Roman"/>
        </w:rPr>
      </w:pPr>
      <w:r>
        <w:rPr>
          <w:rFonts w:ascii="Times New Roman" w:hAnsi="Times New Roman" w:cs="Times New Roman"/>
        </w:rPr>
        <w:t xml:space="preserve">[22] Vogel, C., &amp; </w:t>
      </w:r>
      <w:proofErr w:type="spellStart"/>
      <w:r>
        <w:rPr>
          <w:rFonts w:ascii="Times New Roman" w:hAnsi="Times New Roman" w:cs="Times New Roman"/>
        </w:rPr>
        <w:t>Musamba</w:t>
      </w:r>
      <w:proofErr w:type="spellEnd"/>
      <w:r>
        <w:rPr>
          <w:rFonts w:ascii="Times New Roman" w:hAnsi="Times New Roman" w:cs="Times New Roman"/>
        </w:rPr>
        <w:t xml:space="preserve">, J. (2025). Critical Minerals, Green Transition and the New Geopolitics of Violence in Eastern Congo. </w:t>
      </w:r>
      <w:r w:rsidRPr="00423D91">
        <w:rPr>
          <w:rFonts w:ascii="Times New Roman" w:hAnsi="Times New Roman" w:cs="Times New Roman"/>
          <w:i/>
          <w:iCs/>
        </w:rPr>
        <w:t>Journal of Modern African Studies</w:t>
      </w:r>
      <w:r>
        <w:rPr>
          <w:rFonts w:ascii="Times New Roman" w:hAnsi="Times New Roman" w:cs="Times New Roman"/>
        </w:rPr>
        <w:t>, 63(1), 45-68.</w:t>
      </w:r>
    </w:p>
    <w:p w14:paraId="25F8B3F9" w14:textId="29439130" w:rsidR="00E5032F" w:rsidRPr="00CA6A2E" w:rsidRDefault="001A1334" w:rsidP="00257F5B">
      <w:pPr>
        <w:spacing w:line="360" w:lineRule="auto"/>
        <w:jc w:val="both"/>
        <w:rPr>
          <w:rFonts w:ascii="Times New Roman" w:hAnsi="Times New Roman" w:cs="Times New Roman"/>
        </w:rPr>
      </w:pPr>
      <w:r>
        <w:rPr>
          <w:rFonts w:ascii="Times New Roman" w:hAnsi="Times New Roman" w:cs="Times New Roman"/>
        </w:rPr>
        <w:t xml:space="preserve">[23] De Waal, A. (2024). </w:t>
      </w:r>
      <w:r w:rsidRPr="00686CD0">
        <w:rPr>
          <w:rFonts w:ascii="Times New Roman" w:hAnsi="Times New Roman" w:cs="Times New Roman"/>
          <w:i/>
          <w:iCs/>
        </w:rPr>
        <w:t xml:space="preserve">The </w:t>
      </w:r>
      <w:proofErr w:type="spellStart"/>
      <w:r w:rsidRPr="00686CD0">
        <w:rPr>
          <w:rFonts w:ascii="Times New Roman" w:hAnsi="Times New Roman" w:cs="Times New Roman"/>
          <w:i/>
          <w:iCs/>
        </w:rPr>
        <w:t>Internationalization</w:t>
      </w:r>
      <w:proofErr w:type="spellEnd"/>
      <w:r w:rsidRPr="00686CD0">
        <w:rPr>
          <w:rFonts w:ascii="Times New Roman" w:hAnsi="Times New Roman" w:cs="Times New Roman"/>
          <w:i/>
          <w:iCs/>
        </w:rPr>
        <w:t xml:space="preserve"> of </w:t>
      </w:r>
      <w:proofErr w:type="spellStart"/>
      <w:r w:rsidRPr="00686CD0">
        <w:rPr>
          <w:rFonts w:ascii="Times New Roman" w:hAnsi="Times New Roman" w:cs="Times New Roman"/>
          <w:i/>
          <w:iCs/>
        </w:rPr>
        <w:t>Sudan’s</w:t>
      </w:r>
      <w:proofErr w:type="spellEnd"/>
      <w:r w:rsidRPr="00686CD0">
        <w:rPr>
          <w:rFonts w:ascii="Times New Roman" w:hAnsi="Times New Roman" w:cs="Times New Roman"/>
          <w:i/>
          <w:iCs/>
        </w:rPr>
        <w:t xml:space="preserve"> Civil War : Proxy Politics and Regional Instability.</w:t>
      </w:r>
      <w:r>
        <w:rPr>
          <w:rFonts w:ascii="Times New Roman" w:hAnsi="Times New Roman" w:cs="Times New Roman"/>
        </w:rPr>
        <w:t xml:space="preserve"> African Affairs, 123(492), 1-20.</w:t>
      </w:r>
    </w:p>
    <w:sectPr w:rsidR="00E5032F" w:rsidRPr="00CA6A2E">
      <w:headerReference w:type="even" r:id="rId1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B5FA" w14:textId="77777777" w:rsidR="00081068" w:rsidRDefault="00081068" w:rsidP="00257F5B">
      <w:pPr>
        <w:spacing w:after="0" w:line="240" w:lineRule="auto"/>
      </w:pPr>
      <w:r>
        <w:separator/>
      </w:r>
    </w:p>
  </w:endnote>
  <w:endnote w:type="continuationSeparator" w:id="0">
    <w:p w14:paraId="19754490" w14:textId="77777777" w:rsidR="00081068" w:rsidRDefault="00081068" w:rsidP="0025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8141" w14:textId="77777777" w:rsidR="00081068" w:rsidRDefault="00081068" w:rsidP="00257F5B">
      <w:pPr>
        <w:spacing w:after="0" w:line="240" w:lineRule="auto"/>
      </w:pPr>
      <w:r>
        <w:separator/>
      </w:r>
    </w:p>
  </w:footnote>
  <w:footnote w:type="continuationSeparator" w:id="0">
    <w:p w14:paraId="216606D5" w14:textId="77777777" w:rsidR="00081068" w:rsidRDefault="00081068" w:rsidP="00257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10173572"/>
      <w:docPartObj>
        <w:docPartGallery w:val="Page Numbers (Top of Page)"/>
        <w:docPartUnique/>
      </w:docPartObj>
    </w:sdtPr>
    <w:sdtEndPr>
      <w:rPr>
        <w:rStyle w:val="Numrodepage"/>
      </w:rPr>
    </w:sdtEndPr>
    <w:sdtContent>
      <w:p w14:paraId="70D8D7A2" w14:textId="17C99FBC" w:rsidR="00257F5B" w:rsidRDefault="00257F5B" w:rsidP="00DD7676">
        <w:pPr>
          <w:pStyle w:val="En-tte"/>
          <w:framePr w:wrap="none" w:vAnchor="text" w:hAnchor="margin" w:xAlign="center" w:y="1"/>
          <w:jc w:val="center"/>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479D1BE" w14:textId="77777777" w:rsidR="00257F5B" w:rsidRDefault="00257F5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9688421"/>
      <w:docPartObj>
        <w:docPartGallery w:val="Page Numbers (Top of Page)"/>
        <w:docPartUnique/>
      </w:docPartObj>
    </w:sdtPr>
    <w:sdtEndPr>
      <w:rPr>
        <w:rStyle w:val="Numrodepage"/>
      </w:rPr>
    </w:sdtEndPr>
    <w:sdtContent>
      <w:p w14:paraId="7B5A5193" w14:textId="3C501F25" w:rsidR="00257F5B" w:rsidRDefault="00257F5B" w:rsidP="00DD7676">
        <w:pPr>
          <w:pStyle w:val="En-tte"/>
          <w:framePr w:wrap="none" w:vAnchor="text" w:hAnchor="margin" w:xAlign="center" w:y="1"/>
          <w:jc w:val="center"/>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1A8E92A5" w14:textId="77777777" w:rsidR="00257F5B" w:rsidRDefault="00257F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2A"/>
    <w:multiLevelType w:val="multilevel"/>
    <w:tmpl w:val="6A26B02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826E65"/>
    <w:multiLevelType w:val="multilevel"/>
    <w:tmpl w:val="F0DA62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516770"/>
    <w:multiLevelType w:val="hybridMultilevel"/>
    <w:tmpl w:val="CCDA7638"/>
    <w:lvl w:ilvl="0" w:tplc="FFFFFFFF">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 w15:restartNumberingAfterBreak="0">
    <w:nsid w:val="0D5E0A16"/>
    <w:multiLevelType w:val="multilevel"/>
    <w:tmpl w:val="2AAA277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4109D8"/>
    <w:multiLevelType w:val="hybridMultilevel"/>
    <w:tmpl w:val="92A06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0661BB"/>
    <w:multiLevelType w:val="hybridMultilevel"/>
    <w:tmpl w:val="59A46586"/>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E07843"/>
    <w:multiLevelType w:val="hybridMultilevel"/>
    <w:tmpl w:val="E312B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DD5C57"/>
    <w:multiLevelType w:val="hybridMultilevel"/>
    <w:tmpl w:val="7FFEB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C53B0"/>
    <w:multiLevelType w:val="hybridMultilevel"/>
    <w:tmpl w:val="2C0E9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DB74E8"/>
    <w:multiLevelType w:val="hybridMultilevel"/>
    <w:tmpl w:val="8DA6A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8E43CB"/>
    <w:multiLevelType w:val="hybridMultilevel"/>
    <w:tmpl w:val="57DACE20"/>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BE7025"/>
    <w:multiLevelType w:val="hybridMultilevel"/>
    <w:tmpl w:val="B5AE4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CE155F"/>
    <w:multiLevelType w:val="hybridMultilevel"/>
    <w:tmpl w:val="2EB05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2C1C5B"/>
    <w:multiLevelType w:val="hybridMultilevel"/>
    <w:tmpl w:val="2C947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827B38"/>
    <w:multiLevelType w:val="hybridMultilevel"/>
    <w:tmpl w:val="83109922"/>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6B6048"/>
    <w:multiLevelType w:val="multilevel"/>
    <w:tmpl w:val="B77C80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714F54"/>
    <w:multiLevelType w:val="hybridMultilevel"/>
    <w:tmpl w:val="91AE4552"/>
    <w:lvl w:ilvl="0" w:tplc="FFFFFFFF">
      <w:numFmt w:val="bullet"/>
      <w:lvlText w:val="•"/>
      <w:lvlJc w:val="left"/>
      <w:pPr>
        <w:ind w:left="720" w:hanging="360"/>
      </w:pPr>
      <w:rPr>
        <w:rFonts w:ascii="Times New Roman" w:eastAsiaTheme="minorEastAsia" w:hAnsi="Times New Roman" w:cs="Times New Roman"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3AC2FD1"/>
    <w:multiLevelType w:val="hybridMultilevel"/>
    <w:tmpl w:val="53EE2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731E27"/>
    <w:multiLevelType w:val="hybridMultilevel"/>
    <w:tmpl w:val="5BF6495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C979EA"/>
    <w:multiLevelType w:val="hybridMultilevel"/>
    <w:tmpl w:val="B504C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697326"/>
    <w:multiLevelType w:val="multilevel"/>
    <w:tmpl w:val="DE0E37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E611E24"/>
    <w:multiLevelType w:val="hybridMultilevel"/>
    <w:tmpl w:val="735E7492"/>
    <w:lvl w:ilvl="0" w:tplc="FFFFFFFF">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6342592">
    <w:abstractNumId w:val="5"/>
  </w:num>
  <w:num w:numId="2" w16cid:durableId="1378773874">
    <w:abstractNumId w:val="20"/>
  </w:num>
  <w:num w:numId="3" w16cid:durableId="882448081">
    <w:abstractNumId w:val="6"/>
  </w:num>
  <w:num w:numId="4" w16cid:durableId="630748651">
    <w:abstractNumId w:val="7"/>
  </w:num>
  <w:num w:numId="5" w16cid:durableId="24870563">
    <w:abstractNumId w:val="15"/>
  </w:num>
  <w:num w:numId="6" w16cid:durableId="1981840220">
    <w:abstractNumId w:val="14"/>
  </w:num>
  <w:num w:numId="7" w16cid:durableId="1296567444">
    <w:abstractNumId w:val="13"/>
  </w:num>
  <w:num w:numId="8" w16cid:durableId="2129086936">
    <w:abstractNumId w:val="10"/>
  </w:num>
  <w:num w:numId="9" w16cid:durableId="176969985">
    <w:abstractNumId w:val="21"/>
  </w:num>
  <w:num w:numId="10" w16cid:durableId="255603556">
    <w:abstractNumId w:val="16"/>
  </w:num>
  <w:num w:numId="11" w16cid:durableId="1162041238">
    <w:abstractNumId w:val="17"/>
  </w:num>
  <w:num w:numId="12" w16cid:durableId="1634481775">
    <w:abstractNumId w:val="0"/>
  </w:num>
  <w:num w:numId="13" w16cid:durableId="1572884961">
    <w:abstractNumId w:val="19"/>
  </w:num>
  <w:num w:numId="14" w16cid:durableId="720371930">
    <w:abstractNumId w:val="3"/>
  </w:num>
  <w:num w:numId="15" w16cid:durableId="1977685904">
    <w:abstractNumId w:val="9"/>
  </w:num>
  <w:num w:numId="16" w16cid:durableId="35736062">
    <w:abstractNumId w:val="2"/>
  </w:num>
  <w:num w:numId="17" w16cid:durableId="78984729">
    <w:abstractNumId w:val="18"/>
  </w:num>
  <w:num w:numId="18" w16cid:durableId="1808737585">
    <w:abstractNumId w:val="1"/>
  </w:num>
  <w:num w:numId="19" w16cid:durableId="890459729">
    <w:abstractNumId w:val="8"/>
  </w:num>
  <w:num w:numId="20" w16cid:durableId="1973634683">
    <w:abstractNumId w:val="11"/>
  </w:num>
  <w:num w:numId="21" w16cid:durableId="1641034252">
    <w:abstractNumId w:val="12"/>
  </w:num>
  <w:num w:numId="22" w16cid:durableId="804814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0D"/>
    <w:rsid w:val="0000146D"/>
    <w:rsid w:val="000016DC"/>
    <w:rsid w:val="000139B2"/>
    <w:rsid w:val="00013B96"/>
    <w:rsid w:val="00023337"/>
    <w:rsid w:val="000503EB"/>
    <w:rsid w:val="0006656F"/>
    <w:rsid w:val="000809AA"/>
    <w:rsid w:val="00081068"/>
    <w:rsid w:val="00082DD7"/>
    <w:rsid w:val="00097350"/>
    <w:rsid w:val="000A0DDE"/>
    <w:rsid w:val="000B1ABD"/>
    <w:rsid w:val="000F3A03"/>
    <w:rsid w:val="00105A2A"/>
    <w:rsid w:val="00111BE1"/>
    <w:rsid w:val="00116067"/>
    <w:rsid w:val="0012156E"/>
    <w:rsid w:val="001228A9"/>
    <w:rsid w:val="00123438"/>
    <w:rsid w:val="00130662"/>
    <w:rsid w:val="00143D2A"/>
    <w:rsid w:val="001509D4"/>
    <w:rsid w:val="00151E36"/>
    <w:rsid w:val="00157757"/>
    <w:rsid w:val="0016186E"/>
    <w:rsid w:val="00176142"/>
    <w:rsid w:val="001A1334"/>
    <w:rsid w:val="001B5E53"/>
    <w:rsid w:val="001C4FCA"/>
    <w:rsid w:val="001E73DF"/>
    <w:rsid w:val="001E79E6"/>
    <w:rsid w:val="00200B74"/>
    <w:rsid w:val="002158D2"/>
    <w:rsid w:val="00215B42"/>
    <w:rsid w:val="00217F64"/>
    <w:rsid w:val="002203CC"/>
    <w:rsid w:val="00253908"/>
    <w:rsid w:val="00257F5B"/>
    <w:rsid w:val="00270500"/>
    <w:rsid w:val="00293058"/>
    <w:rsid w:val="00295CDF"/>
    <w:rsid w:val="002A66CD"/>
    <w:rsid w:val="002B5AF1"/>
    <w:rsid w:val="002E3754"/>
    <w:rsid w:val="003131F5"/>
    <w:rsid w:val="003244D2"/>
    <w:rsid w:val="00330579"/>
    <w:rsid w:val="0035732C"/>
    <w:rsid w:val="0036414F"/>
    <w:rsid w:val="00371C1B"/>
    <w:rsid w:val="00373D75"/>
    <w:rsid w:val="00376F53"/>
    <w:rsid w:val="003869BC"/>
    <w:rsid w:val="003916C3"/>
    <w:rsid w:val="003A338C"/>
    <w:rsid w:val="003A3A3E"/>
    <w:rsid w:val="003B161E"/>
    <w:rsid w:val="003B69F9"/>
    <w:rsid w:val="003C18E7"/>
    <w:rsid w:val="003C374C"/>
    <w:rsid w:val="003D3BB9"/>
    <w:rsid w:val="003E20B0"/>
    <w:rsid w:val="003F7637"/>
    <w:rsid w:val="003F7D9A"/>
    <w:rsid w:val="00401133"/>
    <w:rsid w:val="00423D91"/>
    <w:rsid w:val="00432409"/>
    <w:rsid w:val="00444E11"/>
    <w:rsid w:val="00450B05"/>
    <w:rsid w:val="0047173B"/>
    <w:rsid w:val="0047523A"/>
    <w:rsid w:val="00486F5F"/>
    <w:rsid w:val="004933B8"/>
    <w:rsid w:val="004A26C2"/>
    <w:rsid w:val="004A5C02"/>
    <w:rsid w:val="004B4B01"/>
    <w:rsid w:val="004C2272"/>
    <w:rsid w:val="004D10C0"/>
    <w:rsid w:val="004D2940"/>
    <w:rsid w:val="004E7818"/>
    <w:rsid w:val="004E7949"/>
    <w:rsid w:val="004F1E13"/>
    <w:rsid w:val="004F69B9"/>
    <w:rsid w:val="0050661F"/>
    <w:rsid w:val="00515D82"/>
    <w:rsid w:val="00522EFB"/>
    <w:rsid w:val="00530C44"/>
    <w:rsid w:val="005439A8"/>
    <w:rsid w:val="0055575D"/>
    <w:rsid w:val="00576D25"/>
    <w:rsid w:val="005B4F36"/>
    <w:rsid w:val="005C0900"/>
    <w:rsid w:val="005C3C46"/>
    <w:rsid w:val="005C5AAA"/>
    <w:rsid w:val="005E2347"/>
    <w:rsid w:val="005F0F3A"/>
    <w:rsid w:val="00613E0A"/>
    <w:rsid w:val="00615FCF"/>
    <w:rsid w:val="006175E0"/>
    <w:rsid w:val="00622563"/>
    <w:rsid w:val="00652003"/>
    <w:rsid w:val="006661A9"/>
    <w:rsid w:val="00676163"/>
    <w:rsid w:val="00686CD0"/>
    <w:rsid w:val="00691068"/>
    <w:rsid w:val="0069431C"/>
    <w:rsid w:val="0069554A"/>
    <w:rsid w:val="006B3639"/>
    <w:rsid w:val="006B54AA"/>
    <w:rsid w:val="006B568B"/>
    <w:rsid w:val="006B6051"/>
    <w:rsid w:val="006B7288"/>
    <w:rsid w:val="0071033F"/>
    <w:rsid w:val="00722FF6"/>
    <w:rsid w:val="00726986"/>
    <w:rsid w:val="007478FD"/>
    <w:rsid w:val="00755C59"/>
    <w:rsid w:val="00757A69"/>
    <w:rsid w:val="00766F88"/>
    <w:rsid w:val="00773C75"/>
    <w:rsid w:val="00787497"/>
    <w:rsid w:val="0079101E"/>
    <w:rsid w:val="00791DC3"/>
    <w:rsid w:val="007A0F57"/>
    <w:rsid w:val="007C65D7"/>
    <w:rsid w:val="007D4A60"/>
    <w:rsid w:val="007E0942"/>
    <w:rsid w:val="007E29DA"/>
    <w:rsid w:val="007E4164"/>
    <w:rsid w:val="007F4DED"/>
    <w:rsid w:val="008014F4"/>
    <w:rsid w:val="0080417A"/>
    <w:rsid w:val="00816CDC"/>
    <w:rsid w:val="00820A3E"/>
    <w:rsid w:val="00824201"/>
    <w:rsid w:val="00826E45"/>
    <w:rsid w:val="00833253"/>
    <w:rsid w:val="0083496D"/>
    <w:rsid w:val="00836D77"/>
    <w:rsid w:val="008374F3"/>
    <w:rsid w:val="00845859"/>
    <w:rsid w:val="00847BC0"/>
    <w:rsid w:val="008565D8"/>
    <w:rsid w:val="00865342"/>
    <w:rsid w:val="00886A98"/>
    <w:rsid w:val="008A646C"/>
    <w:rsid w:val="008C2B66"/>
    <w:rsid w:val="008D08C9"/>
    <w:rsid w:val="008D0DE2"/>
    <w:rsid w:val="008D2B96"/>
    <w:rsid w:val="008E2677"/>
    <w:rsid w:val="008E612D"/>
    <w:rsid w:val="008E71AA"/>
    <w:rsid w:val="008F6705"/>
    <w:rsid w:val="00922223"/>
    <w:rsid w:val="00943510"/>
    <w:rsid w:val="009457A1"/>
    <w:rsid w:val="00950D1F"/>
    <w:rsid w:val="0098138A"/>
    <w:rsid w:val="00983E4B"/>
    <w:rsid w:val="00987A7E"/>
    <w:rsid w:val="00996E5B"/>
    <w:rsid w:val="009A2E4E"/>
    <w:rsid w:val="009B0D97"/>
    <w:rsid w:val="009B4366"/>
    <w:rsid w:val="009B5470"/>
    <w:rsid w:val="009D103E"/>
    <w:rsid w:val="009D198C"/>
    <w:rsid w:val="009D1C41"/>
    <w:rsid w:val="009F24A2"/>
    <w:rsid w:val="009F6843"/>
    <w:rsid w:val="00A07FA3"/>
    <w:rsid w:val="00A3717E"/>
    <w:rsid w:val="00A40345"/>
    <w:rsid w:val="00A44867"/>
    <w:rsid w:val="00A53E0E"/>
    <w:rsid w:val="00A62960"/>
    <w:rsid w:val="00A8384A"/>
    <w:rsid w:val="00AB0ACE"/>
    <w:rsid w:val="00AC7D69"/>
    <w:rsid w:val="00AE2AE7"/>
    <w:rsid w:val="00AF1D28"/>
    <w:rsid w:val="00AF7414"/>
    <w:rsid w:val="00B03012"/>
    <w:rsid w:val="00B07BF3"/>
    <w:rsid w:val="00B15DB9"/>
    <w:rsid w:val="00B30E53"/>
    <w:rsid w:val="00B32D82"/>
    <w:rsid w:val="00B44556"/>
    <w:rsid w:val="00B4769A"/>
    <w:rsid w:val="00B60964"/>
    <w:rsid w:val="00B666C0"/>
    <w:rsid w:val="00B743B1"/>
    <w:rsid w:val="00B77CD0"/>
    <w:rsid w:val="00B8212E"/>
    <w:rsid w:val="00B828D7"/>
    <w:rsid w:val="00BA74C1"/>
    <w:rsid w:val="00BC38FD"/>
    <w:rsid w:val="00BD44C7"/>
    <w:rsid w:val="00BE1413"/>
    <w:rsid w:val="00BE3F2E"/>
    <w:rsid w:val="00BE45EC"/>
    <w:rsid w:val="00C05E9F"/>
    <w:rsid w:val="00C069D5"/>
    <w:rsid w:val="00C131DB"/>
    <w:rsid w:val="00C40E60"/>
    <w:rsid w:val="00C42F77"/>
    <w:rsid w:val="00C7184D"/>
    <w:rsid w:val="00C87911"/>
    <w:rsid w:val="00CA0698"/>
    <w:rsid w:val="00CA6A2E"/>
    <w:rsid w:val="00CC31E2"/>
    <w:rsid w:val="00CF0186"/>
    <w:rsid w:val="00CF6352"/>
    <w:rsid w:val="00D0689C"/>
    <w:rsid w:val="00D11AF7"/>
    <w:rsid w:val="00D45368"/>
    <w:rsid w:val="00D50B9C"/>
    <w:rsid w:val="00D56415"/>
    <w:rsid w:val="00D620DC"/>
    <w:rsid w:val="00D74ADD"/>
    <w:rsid w:val="00D82158"/>
    <w:rsid w:val="00D9263F"/>
    <w:rsid w:val="00DA1B22"/>
    <w:rsid w:val="00DA460C"/>
    <w:rsid w:val="00DA58EB"/>
    <w:rsid w:val="00DB0170"/>
    <w:rsid w:val="00DB7024"/>
    <w:rsid w:val="00DC2B5E"/>
    <w:rsid w:val="00DC50A3"/>
    <w:rsid w:val="00DC750D"/>
    <w:rsid w:val="00DD03EA"/>
    <w:rsid w:val="00DE0F06"/>
    <w:rsid w:val="00DF009F"/>
    <w:rsid w:val="00DF28DD"/>
    <w:rsid w:val="00E251DD"/>
    <w:rsid w:val="00E32AA1"/>
    <w:rsid w:val="00E413B2"/>
    <w:rsid w:val="00E5032F"/>
    <w:rsid w:val="00E51E8E"/>
    <w:rsid w:val="00E66626"/>
    <w:rsid w:val="00E731C9"/>
    <w:rsid w:val="00E81B2A"/>
    <w:rsid w:val="00E937FE"/>
    <w:rsid w:val="00EA36F8"/>
    <w:rsid w:val="00EC3571"/>
    <w:rsid w:val="00EC4126"/>
    <w:rsid w:val="00EE0751"/>
    <w:rsid w:val="00F141F6"/>
    <w:rsid w:val="00F15237"/>
    <w:rsid w:val="00F20F4B"/>
    <w:rsid w:val="00F24F19"/>
    <w:rsid w:val="00F32448"/>
    <w:rsid w:val="00F36870"/>
    <w:rsid w:val="00F3758A"/>
    <w:rsid w:val="00F425EB"/>
    <w:rsid w:val="00F71CB1"/>
    <w:rsid w:val="00F862EC"/>
    <w:rsid w:val="00F95409"/>
    <w:rsid w:val="00FA188F"/>
    <w:rsid w:val="00FB57DB"/>
    <w:rsid w:val="00FC7852"/>
    <w:rsid w:val="00FD41ED"/>
    <w:rsid w:val="00FD5A5C"/>
    <w:rsid w:val="00FE2AC1"/>
    <w:rsid w:val="00FF62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9723"/>
  <w15:chartTrackingRefBased/>
  <w15:docId w15:val="{0ACE7BBB-6256-6143-8E97-D6688F15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7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7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75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75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75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75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75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75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75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75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75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75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75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75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75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75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75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750D"/>
    <w:rPr>
      <w:rFonts w:eastAsiaTheme="majorEastAsia" w:cstheme="majorBidi"/>
      <w:color w:val="272727" w:themeColor="text1" w:themeTint="D8"/>
    </w:rPr>
  </w:style>
  <w:style w:type="paragraph" w:styleId="Titre">
    <w:name w:val="Title"/>
    <w:basedOn w:val="Normal"/>
    <w:next w:val="Normal"/>
    <w:link w:val="TitreCar"/>
    <w:uiPriority w:val="10"/>
    <w:qFormat/>
    <w:rsid w:val="00DC7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75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75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75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750D"/>
    <w:pPr>
      <w:spacing w:before="160"/>
      <w:jc w:val="center"/>
    </w:pPr>
    <w:rPr>
      <w:i/>
      <w:iCs/>
      <w:color w:val="404040" w:themeColor="text1" w:themeTint="BF"/>
    </w:rPr>
  </w:style>
  <w:style w:type="character" w:customStyle="1" w:styleId="CitationCar">
    <w:name w:val="Citation Car"/>
    <w:basedOn w:val="Policepardfaut"/>
    <w:link w:val="Citation"/>
    <w:uiPriority w:val="29"/>
    <w:rsid w:val="00DC750D"/>
    <w:rPr>
      <w:i/>
      <w:iCs/>
      <w:color w:val="404040" w:themeColor="text1" w:themeTint="BF"/>
    </w:rPr>
  </w:style>
  <w:style w:type="paragraph" w:styleId="Paragraphedeliste">
    <w:name w:val="List Paragraph"/>
    <w:basedOn w:val="Normal"/>
    <w:uiPriority w:val="34"/>
    <w:qFormat/>
    <w:rsid w:val="00DC750D"/>
    <w:pPr>
      <w:ind w:left="720"/>
      <w:contextualSpacing/>
    </w:pPr>
  </w:style>
  <w:style w:type="character" w:styleId="Accentuationintense">
    <w:name w:val="Intense Emphasis"/>
    <w:basedOn w:val="Policepardfaut"/>
    <w:uiPriority w:val="21"/>
    <w:qFormat/>
    <w:rsid w:val="00DC750D"/>
    <w:rPr>
      <w:i/>
      <w:iCs/>
      <w:color w:val="0F4761" w:themeColor="accent1" w:themeShade="BF"/>
    </w:rPr>
  </w:style>
  <w:style w:type="paragraph" w:styleId="Citationintense">
    <w:name w:val="Intense Quote"/>
    <w:basedOn w:val="Normal"/>
    <w:next w:val="Normal"/>
    <w:link w:val="CitationintenseCar"/>
    <w:uiPriority w:val="30"/>
    <w:qFormat/>
    <w:rsid w:val="00DC7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750D"/>
    <w:rPr>
      <w:i/>
      <w:iCs/>
      <w:color w:val="0F4761" w:themeColor="accent1" w:themeShade="BF"/>
    </w:rPr>
  </w:style>
  <w:style w:type="character" w:styleId="Rfrenceintense">
    <w:name w:val="Intense Reference"/>
    <w:basedOn w:val="Policepardfaut"/>
    <w:uiPriority w:val="32"/>
    <w:qFormat/>
    <w:rsid w:val="00DC750D"/>
    <w:rPr>
      <w:b/>
      <w:bCs/>
      <w:smallCaps/>
      <w:color w:val="0F4761" w:themeColor="accent1" w:themeShade="BF"/>
      <w:spacing w:val="5"/>
    </w:rPr>
  </w:style>
  <w:style w:type="paragraph" w:styleId="En-tte">
    <w:name w:val="header"/>
    <w:basedOn w:val="Normal"/>
    <w:link w:val="En-tteCar"/>
    <w:uiPriority w:val="99"/>
    <w:unhideWhenUsed/>
    <w:rsid w:val="00257F5B"/>
    <w:pPr>
      <w:tabs>
        <w:tab w:val="center" w:pos="4536"/>
        <w:tab w:val="right" w:pos="9072"/>
      </w:tabs>
      <w:spacing w:after="0" w:line="240" w:lineRule="auto"/>
    </w:pPr>
  </w:style>
  <w:style w:type="character" w:customStyle="1" w:styleId="En-tteCar">
    <w:name w:val="En-tête Car"/>
    <w:basedOn w:val="Policepardfaut"/>
    <w:link w:val="En-tte"/>
    <w:uiPriority w:val="99"/>
    <w:rsid w:val="00257F5B"/>
  </w:style>
  <w:style w:type="paragraph" w:styleId="Pieddepage">
    <w:name w:val="footer"/>
    <w:basedOn w:val="Normal"/>
    <w:link w:val="PieddepageCar"/>
    <w:uiPriority w:val="99"/>
    <w:unhideWhenUsed/>
    <w:rsid w:val="00257F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F5B"/>
  </w:style>
  <w:style w:type="character" w:styleId="Numrodepage">
    <w:name w:val="page number"/>
    <w:basedOn w:val="Policepardfaut"/>
    <w:uiPriority w:val="99"/>
    <w:semiHidden/>
    <w:unhideWhenUsed/>
    <w:rsid w:val="00257F5B"/>
  </w:style>
  <w:style w:type="character" w:styleId="Lienhypertexte">
    <w:name w:val="Hyperlink"/>
    <w:basedOn w:val="Policepardfaut"/>
    <w:uiPriority w:val="99"/>
    <w:unhideWhenUsed/>
    <w:rsid w:val="00371C1B"/>
    <w:rPr>
      <w:color w:val="467886" w:themeColor="hyperlink"/>
      <w:u w:val="single"/>
    </w:rPr>
  </w:style>
  <w:style w:type="character" w:styleId="Mentionnonrsolue">
    <w:name w:val="Unresolved Mention"/>
    <w:basedOn w:val="Policepardfaut"/>
    <w:uiPriority w:val="99"/>
    <w:semiHidden/>
    <w:unhideWhenUsed/>
    <w:rsid w:val="00371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ukabale@gmail.com"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orcid.org/0009-0009-9132-5153" TargetMode="External" /><Relationship Id="rId12" Type="http://schemas.openxmlformats.org/officeDocument/2006/relationships/header" Target="head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hyperlink" Target="mailto:maomutala@gmail.com" TargetMode="External" /><Relationship Id="rId1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5224</Words>
  <Characters>28735</Characters>
  <Application>Microsoft Office Word</Application>
  <DocSecurity>0</DocSecurity>
  <Lines>239</Lines>
  <Paragraphs>67</Paragraphs>
  <ScaleCrop>false</ScaleCrop>
  <Company/>
  <LinksUpToDate>false</LinksUpToDate>
  <CharactersWithSpaces>33892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 kabale</dc:creator>
  <cp:keywords/>
  <dc:description/>
  <cp:lastModifiedBy>amu kabale</cp:lastModifiedBy>
  <cp:revision>2</cp:revision>
  <dcterms:created xsi:type="dcterms:W3CDTF">2026-02-07T14:27:00Z</dcterms:created>
  <dcterms:modified xsi:type="dcterms:W3CDTF">2026-02-07T14:27:00Z</dcterms:modified>
</cp:coreProperties>
</file>